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71F9CB" w14:textId="6FC9B080" w:rsidR="333FA9EB" w:rsidRDefault="19D15CF8" w:rsidP="70607FEF">
      <w:pPr>
        <w:pStyle w:val="paragraph"/>
        <w:spacing w:before="0" w:beforeAutospacing="0" w:after="0" w:afterAutospacing="0"/>
        <w:ind w:left="-567" w:right="-613"/>
        <w:jc w:val="center"/>
        <w:rPr>
          <w:rStyle w:val="normaltextrun"/>
          <w:rFonts w:ascii="Calibri" w:hAnsi="Calibri" w:cs="Calibri"/>
          <w:b/>
          <w:bCs/>
          <w:u w:val="single"/>
        </w:rPr>
      </w:pPr>
      <w:r w:rsidRPr="70607FEF">
        <w:rPr>
          <w:rStyle w:val="normaltextrun"/>
          <w:rFonts w:ascii="Calibri" w:hAnsi="Calibri" w:cs="Calibri"/>
          <w:b/>
          <w:bCs/>
        </w:rPr>
        <w:t>The</w:t>
      </w:r>
      <w:r w:rsidR="18D9A8DF" w:rsidRPr="70607FEF">
        <w:rPr>
          <w:rStyle w:val="normaltextrun"/>
          <w:rFonts w:ascii="Calibri" w:hAnsi="Calibri" w:cs="Calibri"/>
          <w:b/>
          <w:bCs/>
        </w:rPr>
        <w:t xml:space="preserve"> Secretary-General's</w:t>
      </w:r>
      <w:r w:rsidRPr="70607FEF">
        <w:rPr>
          <w:rStyle w:val="normaltextrun"/>
          <w:rFonts w:ascii="Calibri" w:hAnsi="Calibri" w:cs="Calibri"/>
          <w:b/>
          <w:bCs/>
        </w:rPr>
        <w:t xml:space="preserve"> Call to Action for Human Rights and Human</w:t>
      </w:r>
      <w:r w:rsidR="2ECC24B2" w:rsidRPr="70607FEF">
        <w:rPr>
          <w:rStyle w:val="normaltextrun"/>
          <w:rFonts w:ascii="Calibri" w:hAnsi="Calibri" w:cs="Calibri"/>
          <w:b/>
          <w:bCs/>
        </w:rPr>
        <w:t>itarian Programme Cycle</w:t>
      </w:r>
    </w:p>
    <w:p w14:paraId="79514F41" w14:textId="705C6753" w:rsidR="22282DC2" w:rsidRDefault="00E728BC" w:rsidP="70607FEF">
      <w:pPr>
        <w:pStyle w:val="paragraph"/>
        <w:spacing w:before="0" w:beforeAutospacing="0" w:after="0" w:afterAutospacing="0"/>
        <w:ind w:left="-567" w:right="-613"/>
        <w:jc w:val="center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December</w:t>
      </w:r>
      <w:r w:rsidRPr="70607FEF">
        <w:rPr>
          <w:rStyle w:val="normaltextrun"/>
          <w:rFonts w:ascii="Calibri" w:hAnsi="Calibri" w:cs="Calibri"/>
        </w:rPr>
        <w:t xml:space="preserve"> </w:t>
      </w:r>
      <w:r w:rsidR="22282DC2" w:rsidRPr="70607FEF">
        <w:rPr>
          <w:rStyle w:val="normaltextrun"/>
          <w:rFonts w:ascii="Calibri" w:hAnsi="Calibri" w:cs="Calibri"/>
        </w:rPr>
        <w:t>2021</w:t>
      </w:r>
    </w:p>
    <w:p w14:paraId="5CB21AEA" w14:textId="22DE5EC6" w:rsidR="70607FEF" w:rsidRDefault="70607FEF" w:rsidP="006A358D">
      <w:pPr>
        <w:pStyle w:val="paragraph"/>
        <w:spacing w:before="0" w:beforeAutospacing="0" w:after="0" w:afterAutospacing="0"/>
        <w:ind w:right="-613"/>
        <w:rPr>
          <w:rStyle w:val="normaltextrun"/>
        </w:rPr>
      </w:pPr>
    </w:p>
    <w:p w14:paraId="3B5DAD1E" w14:textId="393F4B4D" w:rsidR="00213D7B" w:rsidRDefault="6E8E08FE" w:rsidP="70607FEF">
      <w:pPr>
        <w:ind w:left="-567" w:right="-613"/>
        <w:jc w:val="both"/>
        <w:rPr>
          <w:rFonts w:ascii="Calibri" w:eastAsia="Calibri" w:hAnsi="Calibri" w:cs="Calibri"/>
          <w:lang w:val="en-US"/>
        </w:rPr>
      </w:pPr>
      <w:r>
        <w:t>In 2020</w:t>
      </w:r>
      <w:r w:rsidR="6938EAC2">
        <w:t xml:space="preserve">, the Secretary-General (SG) launched the </w:t>
      </w:r>
      <w:hyperlink r:id="rId11">
        <w:r w:rsidR="6938EAC2" w:rsidRPr="19C0F0D8">
          <w:rPr>
            <w:rStyle w:val="Hyperlink"/>
          </w:rPr>
          <w:t>Call to Action</w:t>
        </w:r>
        <w:r w:rsidR="6496CEB1" w:rsidRPr="19C0F0D8">
          <w:rPr>
            <w:rStyle w:val="Hyperlink"/>
          </w:rPr>
          <w:t xml:space="preserve"> for Human Rights</w:t>
        </w:r>
      </w:hyperlink>
      <w:r w:rsidR="740E7988" w:rsidRPr="19C0F0D8">
        <w:rPr>
          <w:lang w:val="en-US"/>
        </w:rPr>
        <w:t xml:space="preserve">. </w:t>
      </w:r>
      <w:r w:rsidR="740E7988" w:rsidRPr="19C0F0D8">
        <w:rPr>
          <w:rFonts w:ascii="Calibri" w:eastAsia="Calibri" w:hAnsi="Calibri" w:cs="Calibri"/>
          <w:lang w:val="en-US"/>
        </w:rPr>
        <w:t xml:space="preserve">The Call to Action </w:t>
      </w:r>
      <w:r w:rsidR="13D2F910" w:rsidRPr="19C0F0D8">
        <w:rPr>
          <w:rFonts w:ascii="Calibri" w:eastAsia="Calibri" w:hAnsi="Calibri" w:cs="Calibri"/>
          <w:lang w:val="en-US"/>
        </w:rPr>
        <w:t xml:space="preserve">(C2A) </w:t>
      </w:r>
      <w:r w:rsidR="740E7988" w:rsidRPr="19C0F0D8">
        <w:rPr>
          <w:rFonts w:ascii="Calibri" w:eastAsia="Calibri" w:hAnsi="Calibri" w:cs="Calibri"/>
          <w:lang w:val="en-US"/>
        </w:rPr>
        <w:t>reiterates that human rights must be at the heart of all UN action, including in times of cris</w:t>
      </w:r>
      <w:r w:rsidR="3959697B" w:rsidRPr="19C0F0D8">
        <w:rPr>
          <w:rFonts w:ascii="Calibri" w:eastAsia="Calibri" w:hAnsi="Calibri" w:cs="Calibri"/>
          <w:lang w:val="en-US"/>
        </w:rPr>
        <w:t>is, and provides momentum to deepen and advance the centrality of protection in practice</w:t>
      </w:r>
      <w:r w:rsidR="740E7988" w:rsidRPr="19C0F0D8">
        <w:rPr>
          <w:rFonts w:ascii="Calibri" w:eastAsia="Calibri" w:hAnsi="Calibri" w:cs="Calibri"/>
          <w:lang w:val="en-US"/>
        </w:rPr>
        <w:t>.</w:t>
      </w:r>
      <w:r w:rsidR="0B0F1F87" w:rsidRPr="19C0F0D8">
        <w:rPr>
          <w:rFonts w:ascii="Calibri" w:eastAsia="Calibri" w:hAnsi="Calibri" w:cs="Calibri"/>
          <w:lang w:val="en-US"/>
        </w:rPr>
        <w:t xml:space="preserve"> </w:t>
      </w:r>
      <w:r w:rsidR="6CCFA177" w:rsidRPr="19C0F0D8">
        <w:rPr>
          <w:rFonts w:ascii="Calibri" w:eastAsia="Calibri" w:hAnsi="Calibri" w:cs="Calibri"/>
          <w:lang w:val="en-US"/>
        </w:rPr>
        <w:t xml:space="preserve">The C2A implementation is a UN system-wide responsibility, and the Secretary-General has </w:t>
      </w:r>
      <w:r w:rsidR="4A543B7D" w:rsidRPr="19C0F0D8">
        <w:rPr>
          <w:rFonts w:ascii="Calibri" w:eastAsia="Calibri" w:hAnsi="Calibri" w:cs="Calibri"/>
          <w:lang w:val="en-US"/>
        </w:rPr>
        <w:t xml:space="preserve">repeatedly </w:t>
      </w:r>
      <w:r w:rsidR="6CCFA177" w:rsidRPr="19C0F0D8">
        <w:rPr>
          <w:rFonts w:ascii="Calibri" w:eastAsia="Calibri" w:hAnsi="Calibri" w:cs="Calibri"/>
          <w:lang w:val="en-US"/>
        </w:rPr>
        <w:t>underscored that hu</w:t>
      </w:r>
      <w:r w:rsidR="3BB14D65" w:rsidRPr="19C0F0D8">
        <w:rPr>
          <w:rFonts w:ascii="Calibri" w:eastAsia="Calibri" w:hAnsi="Calibri" w:cs="Calibri"/>
          <w:lang w:val="en-US"/>
        </w:rPr>
        <w:t>man</w:t>
      </w:r>
      <w:r w:rsidR="24B0FA6A" w:rsidRPr="19C0F0D8">
        <w:rPr>
          <w:rFonts w:ascii="Calibri" w:eastAsia="Calibri" w:hAnsi="Calibri" w:cs="Calibri"/>
          <w:lang w:val="en-US"/>
        </w:rPr>
        <w:t xml:space="preserve"> rights are the responsibility of </w:t>
      </w:r>
      <w:proofErr w:type="gramStart"/>
      <w:r w:rsidR="24B0FA6A" w:rsidRPr="19C0F0D8">
        <w:rPr>
          <w:rFonts w:ascii="Calibri" w:eastAsia="Calibri" w:hAnsi="Calibri" w:cs="Calibri"/>
          <w:lang w:val="en-US"/>
        </w:rPr>
        <w:t>each and every</w:t>
      </w:r>
      <w:proofErr w:type="gramEnd"/>
      <w:r w:rsidR="24B0FA6A" w:rsidRPr="19C0F0D8">
        <w:rPr>
          <w:rFonts w:ascii="Calibri" w:eastAsia="Calibri" w:hAnsi="Calibri" w:cs="Calibri"/>
          <w:lang w:val="en-US"/>
        </w:rPr>
        <w:t xml:space="preserve"> UN entity and staff</w:t>
      </w:r>
      <w:r w:rsidR="7C5E6279" w:rsidRPr="19C0F0D8">
        <w:rPr>
          <w:rFonts w:ascii="Calibri" w:eastAsia="Calibri" w:hAnsi="Calibri" w:cs="Calibri"/>
          <w:lang w:val="en-US"/>
        </w:rPr>
        <w:t xml:space="preserve"> member</w:t>
      </w:r>
      <w:r w:rsidR="24B0FA6A" w:rsidRPr="19C0F0D8">
        <w:rPr>
          <w:rFonts w:ascii="Calibri" w:eastAsia="Calibri" w:hAnsi="Calibri" w:cs="Calibri"/>
          <w:lang w:val="en-US"/>
        </w:rPr>
        <w:t xml:space="preserve">.  The </w:t>
      </w:r>
      <w:hyperlink r:id="rId12">
        <w:r w:rsidR="24B0FA6A" w:rsidRPr="19C0F0D8">
          <w:rPr>
            <w:rStyle w:val="Hyperlink"/>
            <w:rFonts w:ascii="Calibri" w:eastAsia="Calibri" w:hAnsi="Calibri" w:cs="Calibri"/>
            <w:lang w:val="en-US"/>
          </w:rPr>
          <w:t>HPC</w:t>
        </w:r>
        <w:r w:rsidR="455105FF" w:rsidRPr="19C0F0D8">
          <w:rPr>
            <w:rStyle w:val="Hyperlink"/>
            <w:rFonts w:ascii="Calibri" w:eastAsia="Calibri" w:hAnsi="Calibri" w:cs="Calibri"/>
            <w:lang w:val="en-US"/>
          </w:rPr>
          <w:t xml:space="preserve"> 2022</w:t>
        </w:r>
        <w:r w:rsidR="24B0FA6A" w:rsidRPr="19C0F0D8">
          <w:rPr>
            <w:rStyle w:val="Hyperlink"/>
            <w:rFonts w:ascii="Calibri" w:eastAsia="Calibri" w:hAnsi="Calibri" w:cs="Calibri"/>
            <w:lang w:val="en-US"/>
          </w:rPr>
          <w:t xml:space="preserve"> </w:t>
        </w:r>
        <w:r w:rsidR="2C90FF2B" w:rsidRPr="19C0F0D8">
          <w:rPr>
            <w:rStyle w:val="Hyperlink"/>
            <w:rFonts w:ascii="Calibri" w:eastAsia="Calibri" w:hAnsi="Calibri" w:cs="Calibri"/>
            <w:lang w:val="en-US"/>
          </w:rPr>
          <w:t>Facilitation</w:t>
        </w:r>
        <w:r w:rsidR="24B0FA6A" w:rsidRPr="19C0F0D8">
          <w:rPr>
            <w:rStyle w:val="Hyperlink"/>
            <w:rFonts w:ascii="Calibri" w:eastAsia="Calibri" w:hAnsi="Calibri" w:cs="Calibri"/>
            <w:lang w:val="en-US"/>
          </w:rPr>
          <w:t xml:space="preserve"> </w:t>
        </w:r>
        <w:r w:rsidR="4125A473" w:rsidRPr="19C0F0D8">
          <w:rPr>
            <w:rStyle w:val="Hyperlink"/>
            <w:rFonts w:ascii="Calibri" w:eastAsia="Calibri" w:hAnsi="Calibri" w:cs="Calibri"/>
            <w:lang w:val="en-US"/>
          </w:rPr>
          <w:t>Package</w:t>
        </w:r>
      </w:hyperlink>
      <w:r w:rsidR="24B0FA6A" w:rsidRPr="19C0F0D8">
        <w:rPr>
          <w:rFonts w:ascii="Calibri" w:eastAsia="Calibri" w:hAnsi="Calibri" w:cs="Calibri"/>
          <w:lang w:val="en-US"/>
        </w:rPr>
        <w:t xml:space="preserve"> highlights the C2A as a key reference point </w:t>
      </w:r>
      <w:r w:rsidR="625806B2" w:rsidRPr="19C0F0D8">
        <w:rPr>
          <w:rFonts w:ascii="Calibri" w:eastAsia="Calibri" w:hAnsi="Calibri" w:cs="Calibri"/>
          <w:lang w:val="en-US"/>
        </w:rPr>
        <w:t>for needs assessments and response planning.</w:t>
      </w:r>
    </w:p>
    <w:p w14:paraId="0EBC0C40" w14:textId="2FB60992" w:rsidR="00213D7B" w:rsidRDefault="5DAE2026" w:rsidP="70607FEF">
      <w:pPr>
        <w:ind w:left="-567" w:right="-613"/>
        <w:jc w:val="both"/>
        <w:rPr>
          <w:rFonts w:ascii="Calibri" w:eastAsia="Calibri" w:hAnsi="Calibri" w:cs="Calibri"/>
          <w:lang w:val="en-US"/>
        </w:rPr>
      </w:pPr>
      <w:r w:rsidRPr="70607FEF">
        <w:rPr>
          <w:rFonts w:ascii="Calibri" w:eastAsia="Calibri" w:hAnsi="Calibri" w:cs="Calibri"/>
          <w:lang w:val="en-US"/>
        </w:rPr>
        <w:t>In line with the above</w:t>
      </w:r>
      <w:r w:rsidR="630029BA" w:rsidRPr="70607FEF">
        <w:rPr>
          <w:rFonts w:ascii="Calibri" w:eastAsia="Calibri" w:hAnsi="Calibri" w:cs="Calibri"/>
          <w:lang w:val="en-US"/>
        </w:rPr>
        <w:t>, t</w:t>
      </w:r>
      <w:r w:rsidR="6FC0E149" w:rsidRPr="70607FEF">
        <w:rPr>
          <w:rFonts w:ascii="Calibri" w:eastAsia="Calibri" w:hAnsi="Calibri" w:cs="Calibri"/>
          <w:lang w:val="en-US"/>
        </w:rPr>
        <w:t>h</w:t>
      </w:r>
      <w:r w:rsidR="6B4B09C8" w:rsidRPr="70607FEF">
        <w:rPr>
          <w:rFonts w:ascii="Calibri" w:eastAsia="Calibri" w:hAnsi="Calibri" w:cs="Calibri"/>
          <w:lang w:val="en-US"/>
        </w:rPr>
        <w:t>e purpose of this</w:t>
      </w:r>
      <w:r w:rsidR="6FC0E149" w:rsidRPr="70607FEF">
        <w:rPr>
          <w:rFonts w:ascii="Calibri" w:eastAsia="Calibri" w:hAnsi="Calibri" w:cs="Calibri"/>
          <w:lang w:val="en-US"/>
        </w:rPr>
        <w:t xml:space="preserve"> note </w:t>
      </w:r>
      <w:r w:rsidR="26A396FC" w:rsidRPr="70607FEF">
        <w:rPr>
          <w:rFonts w:ascii="Calibri" w:eastAsia="Calibri" w:hAnsi="Calibri" w:cs="Calibri"/>
          <w:lang w:val="en-US"/>
        </w:rPr>
        <w:t>is to</w:t>
      </w:r>
      <w:r w:rsidR="7A682EDD" w:rsidRPr="70607FEF">
        <w:rPr>
          <w:rFonts w:ascii="Calibri" w:eastAsia="Calibri" w:hAnsi="Calibri" w:cs="Calibri"/>
          <w:lang w:val="en-US"/>
        </w:rPr>
        <w:t xml:space="preserve"> encourage and</w:t>
      </w:r>
      <w:r w:rsidR="67846C25" w:rsidRPr="70607FEF">
        <w:rPr>
          <w:rFonts w:ascii="Calibri" w:eastAsia="Calibri" w:hAnsi="Calibri" w:cs="Calibri"/>
          <w:lang w:val="en-US"/>
        </w:rPr>
        <w:t xml:space="preserve"> </w:t>
      </w:r>
      <w:r w:rsidR="228097DF" w:rsidRPr="70607FEF">
        <w:rPr>
          <w:rFonts w:ascii="Calibri" w:eastAsia="Calibri" w:hAnsi="Calibri" w:cs="Calibri"/>
          <w:lang w:val="en-US"/>
        </w:rPr>
        <w:t xml:space="preserve">support </w:t>
      </w:r>
      <w:r w:rsidR="6FC0E149" w:rsidRPr="70607FEF">
        <w:rPr>
          <w:rFonts w:ascii="Calibri" w:eastAsia="Calibri" w:hAnsi="Calibri" w:cs="Calibri"/>
          <w:lang w:val="en-US"/>
        </w:rPr>
        <w:t xml:space="preserve">country-level </w:t>
      </w:r>
      <w:r w:rsidR="35523EF8" w:rsidRPr="70607FEF">
        <w:rPr>
          <w:rFonts w:ascii="Calibri" w:eastAsia="Calibri" w:hAnsi="Calibri" w:cs="Calibri"/>
          <w:lang w:val="en-US"/>
        </w:rPr>
        <w:t>effort</w:t>
      </w:r>
      <w:r w:rsidR="6FC0E149" w:rsidRPr="70607FEF">
        <w:rPr>
          <w:rFonts w:ascii="Calibri" w:eastAsia="Calibri" w:hAnsi="Calibri" w:cs="Calibri"/>
          <w:lang w:val="en-US"/>
        </w:rPr>
        <w:t xml:space="preserve">s </w:t>
      </w:r>
      <w:r w:rsidR="1F2F9E68" w:rsidRPr="70607FEF">
        <w:rPr>
          <w:rFonts w:ascii="Calibri" w:eastAsia="Calibri" w:hAnsi="Calibri" w:cs="Calibri"/>
          <w:lang w:val="en-US"/>
        </w:rPr>
        <w:t xml:space="preserve">to </w:t>
      </w:r>
      <w:proofErr w:type="gramStart"/>
      <w:r w:rsidR="28DA5EE5" w:rsidRPr="70607FEF">
        <w:rPr>
          <w:rFonts w:ascii="Calibri" w:eastAsia="Calibri" w:hAnsi="Calibri" w:cs="Calibri"/>
          <w:lang w:val="en-US"/>
        </w:rPr>
        <w:t>more systematically use</w:t>
      </w:r>
      <w:r w:rsidR="1F2F9E68" w:rsidRPr="70607FEF">
        <w:rPr>
          <w:rFonts w:ascii="Calibri" w:eastAsia="Calibri" w:hAnsi="Calibri" w:cs="Calibri"/>
          <w:lang w:val="en-US"/>
        </w:rPr>
        <w:t xml:space="preserve"> and</w:t>
      </w:r>
      <w:r w:rsidR="6FC0E149" w:rsidRPr="70607FEF">
        <w:rPr>
          <w:rFonts w:ascii="Calibri" w:eastAsia="Calibri" w:hAnsi="Calibri" w:cs="Calibri"/>
          <w:lang w:val="en-US"/>
        </w:rPr>
        <w:t xml:space="preserve"> leverage human rights analysis</w:t>
      </w:r>
      <w:r w:rsidR="6D3872CD" w:rsidRPr="70607FEF">
        <w:rPr>
          <w:rFonts w:ascii="Calibri" w:eastAsia="Calibri" w:hAnsi="Calibri" w:cs="Calibri"/>
          <w:lang w:val="en-US"/>
        </w:rPr>
        <w:t xml:space="preserve"> and information</w:t>
      </w:r>
      <w:r w:rsidR="5F0DAA3A" w:rsidRPr="70607FEF">
        <w:rPr>
          <w:rFonts w:ascii="Calibri" w:eastAsia="Calibri" w:hAnsi="Calibri" w:cs="Calibri"/>
          <w:lang w:val="en-US"/>
        </w:rPr>
        <w:t xml:space="preserve"> </w:t>
      </w:r>
      <w:r w:rsidR="6CB7CCB3" w:rsidRPr="70607FEF">
        <w:rPr>
          <w:rFonts w:ascii="Calibri" w:eastAsia="Calibri" w:hAnsi="Calibri" w:cs="Calibri"/>
          <w:lang w:val="en-US"/>
        </w:rPr>
        <w:t>as part of the overall</w:t>
      </w:r>
      <w:r w:rsidR="5F0DAA3A" w:rsidRPr="70607FEF">
        <w:rPr>
          <w:rFonts w:ascii="Calibri" w:eastAsia="Calibri" w:hAnsi="Calibri" w:cs="Calibri"/>
          <w:lang w:val="en-US"/>
        </w:rPr>
        <w:t xml:space="preserve"> </w:t>
      </w:r>
      <w:r w:rsidR="3119E848">
        <w:rPr>
          <w:rFonts w:ascii="Calibri" w:eastAsia="Calibri" w:hAnsi="Calibri" w:cs="Calibri"/>
          <w:lang w:val="en-US"/>
        </w:rPr>
        <w:t>protection analysis</w:t>
      </w:r>
      <w:r w:rsidR="23295B2A" w:rsidRPr="19C0F0D8">
        <w:rPr>
          <w:rFonts w:ascii="Calibri" w:eastAsia="Calibri" w:hAnsi="Calibri" w:cs="Calibri"/>
          <w:lang w:val="en-US"/>
        </w:rPr>
        <w:t>,</w:t>
      </w:r>
      <w:r w:rsidR="3119E848">
        <w:rPr>
          <w:rFonts w:ascii="Calibri" w:eastAsia="Calibri" w:hAnsi="Calibri" w:cs="Calibri"/>
          <w:lang w:val="en-US"/>
        </w:rPr>
        <w:t xml:space="preserve"> including </w:t>
      </w:r>
      <w:r w:rsidR="23295B2A" w:rsidRPr="19C0F0D8">
        <w:rPr>
          <w:rFonts w:ascii="Calibri" w:eastAsia="Calibri" w:hAnsi="Calibri" w:cs="Calibri"/>
          <w:lang w:val="en-US"/>
        </w:rPr>
        <w:t xml:space="preserve">in the </w:t>
      </w:r>
      <w:r w:rsidR="5F0DAA3A" w:rsidRPr="70607FEF">
        <w:rPr>
          <w:rFonts w:ascii="Calibri" w:eastAsia="Calibri" w:hAnsi="Calibri" w:cs="Calibri"/>
          <w:lang w:val="en-US"/>
        </w:rPr>
        <w:t>H</w:t>
      </w:r>
      <w:r w:rsidR="07AA5611" w:rsidRPr="70607FEF">
        <w:rPr>
          <w:rFonts w:ascii="Calibri" w:eastAsia="Calibri" w:hAnsi="Calibri" w:cs="Calibri"/>
          <w:lang w:val="en-US"/>
        </w:rPr>
        <w:t>PC</w:t>
      </w:r>
      <w:r w:rsidR="5F0DAA3A" w:rsidRPr="70607FEF">
        <w:rPr>
          <w:rFonts w:ascii="Calibri" w:eastAsia="Calibri" w:hAnsi="Calibri" w:cs="Calibri"/>
          <w:lang w:val="en-US"/>
        </w:rPr>
        <w:t xml:space="preserve"> process</w:t>
      </w:r>
      <w:proofErr w:type="gramEnd"/>
      <w:r w:rsidR="5F0DAA3A" w:rsidRPr="70607FEF">
        <w:rPr>
          <w:rFonts w:ascii="Calibri" w:eastAsia="Calibri" w:hAnsi="Calibri" w:cs="Calibri"/>
          <w:lang w:val="en-US"/>
        </w:rPr>
        <w:t>.</w:t>
      </w:r>
      <w:r w:rsidR="204B5401" w:rsidRPr="70607FEF">
        <w:rPr>
          <w:rFonts w:ascii="Calibri" w:eastAsia="Calibri" w:hAnsi="Calibri" w:cs="Calibri"/>
          <w:lang w:val="en-US"/>
        </w:rPr>
        <w:t xml:space="preserve"> This first iteration focuses on </w:t>
      </w:r>
      <w:r w:rsidR="753D4ECF">
        <w:rPr>
          <w:rFonts w:ascii="Calibri" w:eastAsia="Calibri" w:hAnsi="Calibri" w:cs="Calibri"/>
          <w:lang w:val="en-US"/>
        </w:rPr>
        <w:t>Protection Cluster</w:t>
      </w:r>
      <w:r w:rsidR="3119E848">
        <w:rPr>
          <w:rFonts w:ascii="Calibri" w:eastAsia="Calibri" w:hAnsi="Calibri" w:cs="Calibri"/>
          <w:lang w:val="en-US"/>
        </w:rPr>
        <w:t xml:space="preserve"> Protection Analysis Updates and</w:t>
      </w:r>
      <w:r w:rsidR="753D4ECF">
        <w:rPr>
          <w:rFonts w:ascii="Calibri" w:eastAsia="Calibri" w:hAnsi="Calibri" w:cs="Calibri"/>
          <w:lang w:val="en-US"/>
        </w:rPr>
        <w:t xml:space="preserve"> the</w:t>
      </w:r>
      <w:r w:rsidR="204B5401" w:rsidRPr="70607FEF">
        <w:rPr>
          <w:rFonts w:ascii="Calibri" w:eastAsia="Calibri" w:hAnsi="Calibri" w:cs="Calibri"/>
          <w:lang w:val="en-US"/>
        </w:rPr>
        <w:t xml:space="preserve"> Humanitarian Needs Overview (HNO).</w:t>
      </w:r>
      <w:r w:rsidR="5F0DAA3A" w:rsidRPr="70607FEF">
        <w:rPr>
          <w:rFonts w:ascii="Calibri" w:eastAsia="Calibri" w:hAnsi="Calibri" w:cs="Calibri"/>
          <w:lang w:val="en-US"/>
        </w:rPr>
        <w:t xml:space="preserve"> </w:t>
      </w:r>
      <w:r w:rsidR="382E3D10" w:rsidRPr="70607FEF">
        <w:rPr>
          <w:rFonts w:ascii="Calibri" w:eastAsia="Calibri" w:hAnsi="Calibri" w:cs="Calibri"/>
          <w:lang w:val="en-US"/>
        </w:rPr>
        <w:t>It</w:t>
      </w:r>
      <w:r w:rsidR="7DA29561" w:rsidRPr="70607FEF">
        <w:rPr>
          <w:rFonts w:ascii="Calibri" w:eastAsia="Calibri" w:hAnsi="Calibri" w:cs="Calibri"/>
          <w:lang w:val="en-US"/>
        </w:rPr>
        <w:t xml:space="preserve"> i</w:t>
      </w:r>
      <w:r w:rsidR="5F0DAA3A" w:rsidRPr="70607FEF">
        <w:rPr>
          <w:rFonts w:ascii="Calibri" w:eastAsia="Calibri" w:hAnsi="Calibri" w:cs="Calibri"/>
          <w:lang w:val="en-US"/>
        </w:rPr>
        <w:t>s a living document that will be updated</w:t>
      </w:r>
      <w:r w:rsidR="56BF8A29" w:rsidRPr="70607FEF">
        <w:rPr>
          <w:rFonts w:ascii="Calibri" w:eastAsia="Calibri" w:hAnsi="Calibri" w:cs="Calibri"/>
          <w:lang w:val="en-US"/>
        </w:rPr>
        <w:t xml:space="preserve"> over the coming months</w:t>
      </w:r>
      <w:r w:rsidR="2A7AEA40">
        <w:rPr>
          <w:rFonts w:ascii="Calibri" w:eastAsia="Calibri" w:hAnsi="Calibri" w:cs="Calibri"/>
          <w:lang w:val="en-US"/>
        </w:rPr>
        <w:t xml:space="preserve"> by the Global Protection Cluster</w:t>
      </w:r>
      <w:r w:rsidR="59552A95" w:rsidRPr="70607FEF">
        <w:rPr>
          <w:rFonts w:ascii="Calibri" w:eastAsia="Calibri" w:hAnsi="Calibri" w:cs="Calibri"/>
          <w:lang w:val="en-US"/>
        </w:rPr>
        <w:t>.</w:t>
      </w:r>
      <w:r w:rsidR="006A358D">
        <w:rPr>
          <w:rStyle w:val="FootnoteReference"/>
          <w:rFonts w:ascii="Calibri" w:eastAsia="Calibri" w:hAnsi="Calibri" w:cs="Calibri"/>
          <w:lang w:val="en-US"/>
        </w:rPr>
        <w:footnoteReference w:id="1"/>
      </w:r>
      <w:r w:rsidR="1C224C69" w:rsidRPr="70607FEF">
        <w:rPr>
          <w:rFonts w:ascii="Calibri" w:eastAsia="Calibri" w:hAnsi="Calibri" w:cs="Calibri"/>
          <w:lang w:val="en-US"/>
        </w:rPr>
        <w:t xml:space="preserve"> It is not intended </w:t>
      </w:r>
      <w:r w:rsidR="44A98201" w:rsidRPr="70607FEF">
        <w:rPr>
          <w:rFonts w:ascii="Calibri" w:eastAsia="Calibri" w:hAnsi="Calibri" w:cs="Calibri"/>
          <w:lang w:val="en-US"/>
        </w:rPr>
        <w:t xml:space="preserve">to </w:t>
      </w:r>
      <w:r w:rsidR="05EFA2B8" w:rsidRPr="70607FEF">
        <w:rPr>
          <w:rFonts w:ascii="Calibri" w:eastAsia="Calibri" w:hAnsi="Calibri" w:cs="Calibri"/>
          <w:lang w:val="en-US"/>
        </w:rPr>
        <w:t>serve as</w:t>
      </w:r>
      <w:r w:rsidR="44A98201" w:rsidRPr="70607FEF">
        <w:rPr>
          <w:rFonts w:ascii="Calibri" w:eastAsia="Calibri" w:hAnsi="Calibri" w:cs="Calibri"/>
          <w:lang w:val="en-US"/>
        </w:rPr>
        <w:t xml:space="preserve"> comprehensive guidance on this topic.</w:t>
      </w:r>
    </w:p>
    <w:p w14:paraId="04B382EF" w14:textId="76D0FAF5" w:rsidR="28F4A10E" w:rsidRDefault="3BADA66D" w:rsidP="19C0F0D8">
      <w:pPr>
        <w:pStyle w:val="paragraph"/>
        <w:spacing w:before="0" w:beforeAutospacing="0" w:after="0" w:afterAutospacing="0"/>
        <w:ind w:left="-567" w:right="-613"/>
        <w:rPr>
          <w:rStyle w:val="normaltextrun"/>
          <w:rFonts w:ascii="Calibri" w:hAnsi="Calibri" w:cs="Calibri"/>
          <w:sz w:val="22"/>
          <w:szCs w:val="22"/>
        </w:rPr>
      </w:pPr>
      <w:r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What is the </w:t>
      </w:r>
      <w:r w:rsidR="6BE21C57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added value</w:t>
      </w:r>
      <w:r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of the C2A </w:t>
      </w:r>
      <w:r w:rsidR="7A638E6D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for</w:t>
      </w:r>
      <w:r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the 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P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rotection 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A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nalysis 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U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pdate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s and H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umanitarian 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P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rogramme </w:t>
      </w:r>
      <w:r w:rsidR="1CE055BB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C</w:t>
      </w:r>
      <w:r w:rsidR="2A7AEA40"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ycle</w:t>
      </w:r>
      <w:r w:rsidRPr="19C0F0D8">
        <w:rPr>
          <w:rStyle w:val="normaltextrun"/>
          <w:rFonts w:ascii="Calibri" w:hAnsi="Calibri" w:cs="Calibri"/>
          <w:b/>
          <w:bCs/>
          <w:sz w:val="22"/>
          <w:szCs w:val="22"/>
        </w:rPr>
        <w:t>?</w:t>
      </w:r>
    </w:p>
    <w:p w14:paraId="058A808E" w14:textId="30C219D5" w:rsidR="003A35BE" w:rsidRDefault="0729EA1A" w:rsidP="19C0F0D8">
      <w:pPr>
        <w:pStyle w:val="paragraph"/>
        <w:numPr>
          <w:ilvl w:val="0"/>
          <w:numId w:val="6"/>
        </w:numPr>
        <w:spacing w:before="0" w:beforeAutospacing="0" w:after="0" w:afterAutospacing="0"/>
        <w:ind w:right="-613"/>
        <w:textAlignment w:val="baseline"/>
        <w:rPr>
          <w:rFonts w:asciiTheme="minorHAnsi" w:eastAsiaTheme="minorEastAsia" w:hAnsiTheme="minorHAnsi" w:cstheme="minorBidi"/>
          <w:b/>
          <w:bCs/>
          <w:lang w:val="en-US"/>
        </w:rPr>
      </w:pPr>
      <w:r w:rsidRPr="19C0F0D8">
        <w:rPr>
          <w:rFonts w:ascii="Calibri" w:eastAsia="Calibri" w:hAnsi="Calibri" w:cs="Calibri"/>
          <w:sz w:val="22"/>
          <w:szCs w:val="22"/>
          <w:lang w:val="en-US"/>
        </w:rPr>
        <w:t>More robust analysis</w:t>
      </w:r>
      <w:r w:rsidR="68313648" w:rsidRPr="19C0F0D8">
        <w:rPr>
          <w:rFonts w:ascii="Calibri" w:eastAsia="Calibri" w:hAnsi="Calibri" w:cs="Calibri"/>
          <w:sz w:val="22"/>
          <w:szCs w:val="22"/>
          <w:lang w:val="en-US"/>
        </w:rPr>
        <w:t>,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 including of power structures, context, </w:t>
      </w:r>
      <w:r w:rsidR="26F5EF79" w:rsidRPr="19C0F0D8">
        <w:rPr>
          <w:rFonts w:ascii="Calibri" w:eastAsia="Calibri" w:hAnsi="Calibri" w:cs="Calibri"/>
          <w:sz w:val="22"/>
          <w:szCs w:val="22"/>
          <w:lang w:val="en-US"/>
        </w:rPr>
        <w:t>legal and policy framework</w:t>
      </w:r>
      <w:r w:rsidR="51D9A790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and notably relevant international human rights obligations and commitments</w:t>
      </w:r>
      <w:r w:rsidR="26F5EF79" w:rsidRPr="19C0F0D8">
        <w:rPr>
          <w:rFonts w:ascii="Calibri" w:eastAsia="Calibri" w:hAnsi="Calibri" w:cs="Calibri"/>
          <w:sz w:val="22"/>
          <w:szCs w:val="22"/>
          <w:lang w:val="en-US"/>
        </w:rPr>
        <w:t xml:space="preserve">, 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underlying </w:t>
      </w:r>
      <w:r w:rsidR="2A4838A6" w:rsidRPr="19C0F0D8">
        <w:rPr>
          <w:rFonts w:ascii="Calibri" w:eastAsia="Calibri" w:hAnsi="Calibri" w:cs="Calibri"/>
          <w:sz w:val="22"/>
          <w:szCs w:val="22"/>
          <w:lang w:val="en-US"/>
        </w:rPr>
        <w:t xml:space="preserve">root 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>causes of human rights violations and abuses</w:t>
      </w:r>
    </w:p>
    <w:p w14:paraId="7226B00F" w14:textId="4A387AAB" w:rsidR="003A35BE" w:rsidRDefault="099F03AF" w:rsidP="19C0F0D8">
      <w:pPr>
        <w:pStyle w:val="paragraph"/>
        <w:numPr>
          <w:ilvl w:val="0"/>
          <w:numId w:val="6"/>
        </w:numPr>
        <w:spacing w:before="0" w:beforeAutospacing="0" w:after="0" w:afterAutospacing="0"/>
        <w:ind w:right="-613"/>
        <w:textAlignment w:val="baseline"/>
        <w:rPr>
          <w:b/>
          <w:bCs/>
          <w:lang w:val="en-US"/>
        </w:rPr>
      </w:pPr>
      <w:r w:rsidRPr="19C0F0D8">
        <w:rPr>
          <w:rFonts w:ascii="Calibri" w:eastAsia="Calibri" w:hAnsi="Calibri" w:cs="Calibri"/>
          <w:sz w:val="22"/>
          <w:szCs w:val="22"/>
          <w:lang w:val="en-US"/>
        </w:rPr>
        <w:t>A more holistic and nuanced understanding</w:t>
      </w:r>
      <w:r w:rsidR="5529DA96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of</w:t>
      </w:r>
      <w:r w:rsidR="47EA7202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the</w:t>
      </w:r>
      <w:r w:rsidR="5529DA96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risks affected people fac</w:t>
      </w:r>
      <w:r w:rsidR="6ED0BBE4" w:rsidRPr="19C0F0D8">
        <w:rPr>
          <w:rFonts w:ascii="Calibri" w:eastAsia="Calibri" w:hAnsi="Calibri" w:cs="Calibri"/>
          <w:sz w:val="22"/>
          <w:szCs w:val="22"/>
          <w:lang w:val="en-US"/>
        </w:rPr>
        <w:t>e</w:t>
      </w:r>
      <w:r w:rsidR="7D12628B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and capacities </w:t>
      </w:r>
      <w:r w:rsidR="5E80BA17" w:rsidRPr="19C0F0D8">
        <w:rPr>
          <w:rFonts w:ascii="Calibri" w:eastAsia="Calibri" w:hAnsi="Calibri" w:cs="Calibri"/>
          <w:sz w:val="22"/>
          <w:szCs w:val="22"/>
          <w:lang w:val="en-US"/>
        </w:rPr>
        <w:t xml:space="preserve">they </w:t>
      </w:r>
      <w:r w:rsidR="518DE1A9" w:rsidRPr="19C0F0D8">
        <w:rPr>
          <w:rFonts w:ascii="Calibri" w:eastAsia="Calibri" w:hAnsi="Calibri" w:cs="Calibri"/>
          <w:sz w:val="22"/>
          <w:szCs w:val="22"/>
          <w:lang w:val="en-US"/>
        </w:rPr>
        <w:t>can bring to bear to reduce risk themselves</w:t>
      </w:r>
    </w:p>
    <w:p w14:paraId="364C5587" w14:textId="73C6E116" w:rsidR="003A35BE" w:rsidRDefault="1A29CB13" w:rsidP="19C0F0D8">
      <w:pPr>
        <w:pStyle w:val="paragraph"/>
        <w:numPr>
          <w:ilvl w:val="0"/>
          <w:numId w:val="6"/>
        </w:numPr>
        <w:spacing w:before="0" w:beforeAutospacing="0" w:after="0" w:afterAutospacing="0"/>
        <w:ind w:right="-613"/>
        <w:textAlignment w:val="baseline"/>
        <w:rPr>
          <w:b/>
          <w:bCs/>
          <w:lang w:val="en-US"/>
        </w:rPr>
      </w:pP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Enhanced </w:t>
      </w:r>
      <w:r w:rsidR="6234C0A1" w:rsidRPr="19C0F0D8">
        <w:rPr>
          <w:rFonts w:ascii="Calibri" w:eastAsia="Calibri" w:hAnsi="Calibri" w:cs="Calibri"/>
          <w:sz w:val="22"/>
          <w:szCs w:val="22"/>
          <w:lang w:val="en-US"/>
        </w:rPr>
        <w:t>understanding of State and non-State actors</w:t>
      </w:r>
      <w:r w:rsidR="7F972EA9" w:rsidRPr="19C0F0D8">
        <w:rPr>
          <w:rFonts w:ascii="Calibri" w:eastAsia="Calibri" w:hAnsi="Calibri" w:cs="Calibri"/>
          <w:sz w:val="22"/>
          <w:szCs w:val="22"/>
          <w:lang w:val="en-US"/>
        </w:rPr>
        <w:t>, including</w:t>
      </w:r>
      <w:r w:rsidR="6234C0A1" w:rsidRPr="19C0F0D8">
        <w:rPr>
          <w:rFonts w:ascii="Calibri" w:eastAsia="Calibri" w:hAnsi="Calibri" w:cs="Calibri"/>
          <w:sz w:val="22"/>
          <w:szCs w:val="22"/>
          <w:lang w:val="en-US"/>
        </w:rPr>
        <w:t xml:space="preserve"> their roles and responsibilities in relation to </w:t>
      </w:r>
      <w:r w:rsidR="6B469142" w:rsidRPr="19C0F0D8">
        <w:rPr>
          <w:rFonts w:ascii="Calibri" w:eastAsia="Calibri" w:hAnsi="Calibri" w:cs="Calibri"/>
          <w:sz w:val="22"/>
          <w:szCs w:val="22"/>
          <w:lang w:val="en-US"/>
        </w:rPr>
        <w:t>human rights violations or abuses</w:t>
      </w:r>
    </w:p>
    <w:p w14:paraId="062B2ACD" w14:textId="6A13697D" w:rsidR="003A35BE" w:rsidRDefault="5529DA96" w:rsidP="19C0F0D8">
      <w:pPr>
        <w:pStyle w:val="paragraph"/>
        <w:numPr>
          <w:ilvl w:val="0"/>
          <w:numId w:val="6"/>
        </w:numPr>
        <w:spacing w:before="0" w:beforeAutospacing="0" w:after="0" w:afterAutospacing="0"/>
        <w:ind w:right="-613"/>
        <w:textAlignment w:val="baseline"/>
        <w:rPr>
          <w:b/>
          <w:bCs/>
          <w:lang w:val="en-US"/>
        </w:rPr>
      </w:pP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Broadening </w:t>
      </w:r>
      <w:r w:rsidR="4EF980B1" w:rsidRPr="19C0F0D8">
        <w:rPr>
          <w:rFonts w:ascii="Calibri" w:eastAsia="Calibri" w:hAnsi="Calibri" w:cs="Calibri"/>
          <w:sz w:val="22"/>
          <w:szCs w:val="22"/>
          <w:lang w:val="en-US"/>
        </w:rPr>
        <w:t xml:space="preserve">the 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basis for engagement with </w:t>
      </w:r>
      <w:r w:rsidR="73971221" w:rsidRPr="19C0F0D8">
        <w:rPr>
          <w:rFonts w:ascii="Calibri" w:eastAsia="Calibri" w:hAnsi="Calibri" w:cs="Calibri"/>
          <w:sz w:val="22"/>
          <w:szCs w:val="22"/>
          <w:lang w:val="en-US"/>
        </w:rPr>
        <w:t xml:space="preserve">human rights, </w:t>
      </w:r>
      <w:proofErr w:type="gramStart"/>
      <w:r w:rsidRPr="19C0F0D8">
        <w:rPr>
          <w:rFonts w:ascii="Calibri" w:eastAsia="Calibri" w:hAnsi="Calibri" w:cs="Calibri"/>
          <w:sz w:val="22"/>
          <w:szCs w:val="22"/>
          <w:lang w:val="en-US"/>
        </w:rPr>
        <w:t>development</w:t>
      </w:r>
      <w:proofErr w:type="gramEnd"/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 and peace operations actors to work collectively </w:t>
      </w:r>
      <w:r w:rsidR="5935074F" w:rsidRPr="19C0F0D8">
        <w:rPr>
          <w:rFonts w:ascii="Calibri" w:eastAsia="Calibri" w:hAnsi="Calibri" w:cs="Calibri"/>
          <w:sz w:val="22"/>
          <w:szCs w:val="22"/>
          <w:lang w:val="en-US"/>
        </w:rPr>
        <w:t xml:space="preserve">and </w:t>
      </w:r>
      <w:r w:rsidR="3DA6AFEE" w:rsidRPr="19C0F0D8">
        <w:rPr>
          <w:rFonts w:ascii="Calibri" w:eastAsia="Calibri" w:hAnsi="Calibri" w:cs="Calibri"/>
          <w:sz w:val="22"/>
          <w:szCs w:val="22"/>
          <w:lang w:val="en-US"/>
        </w:rPr>
        <w:t xml:space="preserve">more consistently 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 xml:space="preserve">in </w:t>
      </w:r>
      <w:r w:rsidR="72B1EC57" w:rsidRPr="19C0F0D8">
        <w:rPr>
          <w:rFonts w:ascii="Calibri" w:eastAsia="Calibri" w:hAnsi="Calibri" w:cs="Calibri"/>
          <w:sz w:val="22"/>
          <w:szCs w:val="22"/>
          <w:lang w:val="en-US"/>
        </w:rPr>
        <w:t xml:space="preserve">analysing and </w:t>
      </w:r>
      <w:r w:rsidRPr="19C0F0D8">
        <w:rPr>
          <w:rFonts w:ascii="Calibri" w:eastAsia="Calibri" w:hAnsi="Calibri" w:cs="Calibri"/>
          <w:sz w:val="22"/>
          <w:szCs w:val="22"/>
          <w:lang w:val="en-US"/>
        </w:rPr>
        <w:t>addressing complex protection challenges</w:t>
      </w:r>
    </w:p>
    <w:p w14:paraId="22A8A533" w14:textId="50FB703B" w:rsidR="003A35BE" w:rsidRDefault="5585A164" w:rsidP="70607FEF">
      <w:pPr>
        <w:pStyle w:val="paragraph"/>
        <w:numPr>
          <w:ilvl w:val="0"/>
          <w:numId w:val="6"/>
        </w:numPr>
        <w:spacing w:before="0" w:beforeAutospacing="0" w:after="0" w:afterAutospacing="0"/>
        <w:ind w:right="-613"/>
        <w:textAlignment w:val="baseline"/>
        <w:rPr>
          <w:b/>
          <w:bCs/>
          <w:lang w:val="en-US"/>
        </w:rPr>
      </w:pPr>
      <w:r w:rsidRPr="70607FEF">
        <w:rPr>
          <w:rFonts w:ascii="Calibri" w:eastAsia="Calibri" w:hAnsi="Calibri" w:cs="Calibri"/>
          <w:sz w:val="22"/>
          <w:szCs w:val="22"/>
          <w:lang w:val="en-US"/>
        </w:rPr>
        <w:t>Aligned with</w:t>
      </w:r>
      <w:r w:rsidR="13FEA99B" w:rsidRPr="70607FEF">
        <w:rPr>
          <w:rFonts w:ascii="Calibri" w:eastAsia="Calibri" w:hAnsi="Calibri" w:cs="Calibri"/>
          <w:sz w:val="22"/>
          <w:szCs w:val="22"/>
          <w:lang w:val="en-US"/>
        </w:rPr>
        <w:t xml:space="preserve"> and reinforces the</w:t>
      </w:r>
      <w:r w:rsidRPr="70607FEF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hyperlink r:id="rId13">
        <w:r w:rsidRPr="70607FEF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>2016 IASC Protection Policy</w:t>
        </w:r>
      </w:hyperlink>
      <w:r w:rsidRPr="70607FEF">
        <w:rPr>
          <w:rFonts w:ascii="Calibri" w:eastAsia="Calibri" w:hAnsi="Calibri" w:cs="Calibri"/>
          <w:sz w:val="22"/>
          <w:szCs w:val="22"/>
          <w:lang w:val="en-US"/>
        </w:rPr>
        <w:t xml:space="preserve"> and </w:t>
      </w:r>
      <w:hyperlink r:id="rId14">
        <w:r w:rsidR="11A77841" w:rsidRPr="70607FEF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 xml:space="preserve">2013 </w:t>
        </w:r>
        <w:r w:rsidRPr="70607FEF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>IASC Principals Statement on the Centrality of Protection</w:t>
        </w:r>
        <w:r w:rsidR="48AE4044" w:rsidRPr="70607FEF">
          <w:rPr>
            <w:rStyle w:val="Hyperlink"/>
            <w:rFonts w:ascii="Calibri" w:eastAsia="Calibri" w:hAnsi="Calibri" w:cs="Calibri"/>
            <w:sz w:val="22"/>
            <w:szCs w:val="22"/>
            <w:lang w:val="en-US"/>
          </w:rPr>
          <w:t xml:space="preserve"> in Humanitarian Action</w:t>
        </w:r>
      </w:hyperlink>
      <w:r w:rsidR="64309EB0" w:rsidRPr="70607FEF">
        <w:rPr>
          <w:rFonts w:ascii="Calibri" w:eastAsia="Calibri" w:hAnsi="Calibri" w:cs="Calibri"/>
          <w:sz w:val="22"/>
          <w:szCs w:val="22"/>
          <w:lang w:val="en-US"/>
        </w:rPr>
        <w:t xml:space="preserve">  </w:t>
      </w:r>
    </w:p>
    <w:p w14:paraId="0242444D" w14:textId="78A51785" w:rsidR="003A35BE" w:rsidRDefault="003A35BE" w:rsidP="70607FEF">
      <w:pPr>
        <w:pStyle w:val="paragraph"/>
        <w:spacing w:before="0" w:beforeAutospacing="0" w:after="0" w:afterAutospacing="0"/>
        <w:ind w:left="-567" w:right="-613"/>
        <w:textAlignment w:val="baseline"/>
      </w:pPr>
    </w:p>
    <w:p w14:paraId="3A48D2FD" w14:textId="7A246867" w:rsidR="003A35BE" w:rsidRDefault="003A35BE" w:rsidP="70607FEF">
      <w:pPr>
        <w:pStyle w:val="paragraph"/>
        <w:spacing w:before="0" w:beforeAutospacing="0" w:after="0" w:afterAutospacing="0"/>
        <w:ind w:left="-567" w:right="-613"/>
        <w:textAlignment w:val="baseline"/>
        <w:rPr>
          <w:rFonts w:ascii="Calibri" w:hAnsi="Calibri" w:cs="Calibri"/>
          <w:sz w:val="22"/>
          <w:szCs w:val="22"/>
        </w:rPr>
      </w:pPr>
      <w:r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>Wh</w:t>
      </w:r>
      <w:r w:rsidR="41CA2EF3"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at key </w:t>
      </w:r>
      <w:r w:rsidR="3FD444A6"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elements of human rights analysis </w:t>
      </w:r>
      <w:r w:rsidR="41CA2EF3"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should be </w:t>
      </w:r>
      <w:proofErr w:type="gramStart"/>
      <w:r w:rsidR="41CA2EF3"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>taken into account</w:t>
      </w:r>
      <w:proofErr w:type="gramEnd"/>
      <w:r w:rsidR="41CA2EF3"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>?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244ABE1C" w14:textId="64A7BAEC" w:rsidR="003A35BE" w:rsidRDefault="4D4F2B6B" w:rsidP="19C0F0D8">
      <w:pPr>
        <w:pStyle w:val="paragraph"/>
        <w:numPr>
          <w:ilvl w:val="0"/>
          <w:numId w:val="3"/>
        </w:numPr>
        <w:spacing w:before="0" w:beforeAutospacing="0" w:after="0" w:afterAutospacing="0"/>
        <w:ind w:right="-613"/>
        <w:textAlignment w:val="baseline"/>
        <w:rPr>
          <w:rFonts w:asciiTheme="minorHAnsi" w:eastAsiaTheme="minorEastAsia" w:hAnsiTheme="minorHAnsi" w:cstheme="minorBidi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>Linking a</w:t>
      </w:r>
      <w:r w:rsidR="7810BD73" w:rsidRPr="19C0F0D8">
        <w:rPr>
          <w:rStyle w:val="normaltextrun"/>
          <w:rFonts w:ascii="Calibri" w:hAnsi="Calibri" w:cs="Calibri"/>
          <w:sz w:val="22"/>
          <w:szCs w:val="22"/>
        </w:rPr>
        <w:t>nalysis of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> </w:t>
      </w:r>
      <w:r w:rsidR="27D5B8C0" w:rsidRPr="19C0F0D8">
        <w:rPr>
          <w:rStyle w:val="normaltextrun"/>
          <w:rFonts w:ascii="Calibri" w:hAnsi="Calibri" w:cs="Calibri"/>
          <w:sz w:val="22"/>
          <w:szCs w:val="22"/>
        </w:rPr>
        <w:t>protection concerns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to 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 w:rsidR="420E17C5" w:rsidRPr="19C0F0D8">
        <w:rPr>
          <w:rStyle w:val="normaltextrun"/>
          <w:rFonts w:ascii="Calibri" w:hAnsi="Calibri" w:cs="Calibri"/>
          <w:sz w:val="22"/>
          <w:szCs w:val="22"/>
        </w:rPr>
        <w:t>international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 human rights </w:t>
      </w:r>
      <w:r w:rsidR="31E20385" w:rsidRPr="19C0F0D8">
        <w:rPr>
          <w:rStyle w:val="normaltextrun"/>
          <w:rFonts w:ascii="Calibri" w:hAnsi="Calibri" w:cs="Calibri"/>
          <w:sz w:val="22"/>
          <w:szCs w:val="22"/>
        </w:rPr>
        <w:t xml:space="preserve">norms and 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>standards at stake</w:t>
      </w:r>
      <w:r w:rsidR="4C502A04" w:rsidRPr="19C0F0D8">
        <w:rPr>
          <w:rStyle w:val="normaltextrun"/>
          <w:rFonts w:ascii="Calibri" w:hAnsi="Calibri" w:cs="Calibri"/>
          <w:sz w:val="22"/>
          <w:szCs w:val="22"/>
        </w:rPr>
        <w:t xml:space="preserve">. Identify and 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>link</w:t>
      </w:r>
      <w:r w:rsidR="2DCB1122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the relevant </w:t>
      </w:r>
      <w:r w:rsidR="13E28F50" w:rsidRPr="19C0F0D8">
        <w:rPr>
          <w:rStyle w:val="normaltextrun"/>
          <w:rFonts w:ascii="Calibri" w:hAnsi="Calibri" w:cs="Calibri"/>
          <w:sz w:val="22"/>
          <w:szCs w:val="22"/>
        </w:rPr>
        <w:t>applicable legal framework</w:t>
      </w:r>
      <w:r w:rsidR="528CD1C8" w:rsidRPr="19C0F0D8">
        <w:rPr>
          <w:rStyle w:val="normaltextrun"/>
          <w:rFonts w:ascii="Calibri" w:hAnsi="Calibri" w:cs="Calibri"/>
          <w:sz w:val="22"/>
          <w:szCs w:val="22"/>
        </w:rPr>
        <w:t>s</w:t>
      </w:r>
      <w:r w:rsidR="0C9B6D73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>to the identified protection</w:t>
      </w:r>
      <w:r w:rsidR="01222B2F" w:rsidRPr="19C0F0D8">
        <w:rPr>
          <w:rStyle w:val="normaltextrun"/>
          <w:rFonts w:ascii="Calibri" w:hAnsi="Calibri" w:cs="Calibri"/>
          <w:sz w:val="22"/>
          <w:szCs w:val="22"/>
        </w:rPr>
        <w:t xml:space="preserve"> concerns</w:t>
      </w:r>
      <w:r w:rsidR="0C45AB2A" w:rsidRPr="19C0F0D8">
        <w:rPr>
          <w:rStyle w:val="eop"/>
          <w:rFonts w:ascii="Calibri" w:hAnsi="Calibri" w:cs="Calibri"/>
          <w:sz w:val="22"/>
          <w:szCs w:val="22"/>
        </w:rPr>
        <w:t> </w:t>
      </w:r>
      <w:r w:rsidR="00BE3628">
        <w:rPr>
          <w:rStyle w:val="eop"/>
          <w:rFonts w:ascii="Calibri" w:hAnsi="Calibri" w:cs="Calibri"/>
          <w:sz w:val="22"/>
          <w:szCs w:val="22"/>
        </w:rPr>
        <w:t>including:</w:t>
      </w:r>
    </w:p>
    <w:p w14:paraId="56255455" w14:textId="42D92E43" w:rsidR="003A35BE" w:rsidRDefault="0C45AB2A" w:rsidP="00BE3628">
      <w:pPr>
        <w:pStyle w:val="paragraph"/>
        <w:numPr>
          <w:ilvl w:val="1"/>
          <w:numId w:val="3"/>
        </w:numPr>
        <w:spacing w:before="0" w:beforeAutospacing="0" w:after="0" w:afterAutospacing="0"/>
        <w:ind w:right="-613"/>
        <w:textAlignment w:val="baseline"/>
        <w:rPr>
          <w:rStyle w:val="eop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</w:t>
      </w:r>
      <w:r w:rsidR="4BE855A3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nalysis from the perspective of a</w:t>
      </w: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ctors involved</w:t>
      </w:r>
      <w:r w:rsidR="2A29C9A2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6839101C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including State and non-state actors </w:t>
      </w:r>
      <w:r w:rsidR="06EE95FD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(</w:t>
      </w:r>
      <w:r w:rsidR="6839101C" w:rsidRPr="19C0F0D8">
        <w:rPr>
          <w:rStyle w:val="normaltextrun"/>
          <w:rFonts w:ascii="Calibri" w:hAnsi="Calibri" w:cs="Calibri"/>
          <w:sz w:val="22"/>
          <w:szCs w:val="22"/>
        </w:rPr>
        <w:t>primary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 duty-bearers</w:t>
      </w:r>
      <w:r w:rsidR="38853F7A" w:rsidRPr="19C0F0D8">
        <w:rPr>
          <w:rStyle w:val="normaltextrun"/>
          <w:rFonts w:ascii="Calibri" w:hAnsi="Calibri" w:cs="Calibri"/>
          <w:sz w:val="22"/>
          <w:szCs w:val="22"/>
        </w:rPr>
        <w:t xml:space="preserve">) </w:t>
      </w:r>
      <w:r w:rsidR="166BB6B4" w:rsidRPr="19C0F0D8">
        <w:rPr>
          <w:rStyle w:val="normaltextrun"/>
          <w:rFonts w:ascii="Calibri" w:hAnsi="Calibri" w:cs="Calibri"/>
          <w:sz w:val="22"/>
          <w:szCs w:val="22"/>
        </w:rPr>
        <w:t>and</w:t>
      </w:r>
      <w:r w:rsidR="4F28BD5F" w:rsidRPr="19C0F0D8">
        <w:rPr>
          <w:rStyle w:val="normaltextrun"/>
          <w:rFonts w:ascii="Calibri" w:hAnsi="Calibri" w:cs="Calibri"/>
          <w:sz w:val="22"/>
          <w:szCs w:val="22"/>
        </w:rPr>
        <w:t xml:space="preserve"> of</w:t>
      </w:r>
      <w:r w:rsidR="166BB6B4" w:rsidRPr="19C0F0D8">
        <w:rPr>
          <w:rStyle w:val="normaltextrun"/>
          <w:rFonts w:ascii="Calibri" w:hAnsi="Calibri" w:cs="Calibri"/>
          <w:sz w:val="22"/>
          <w:szCs w:val="22"/>
        </w:rPr>
        <w:t xml:space="preserve"> their </w:t>
      </w:r>
      <w:r w:rsidR="61FA14FA" w:rsidRPr="19C0F0D8">
        <w:rPr>
          <w:rStyle w:val="normaltextrun"/>
          <w:rFonts w:ascii="Calibri" w:hAnsi="Calibri" w:cs="Calibri"/>
          <w:sz w:val="22"/>
          <w:szCs w:val="22"/>
        </w:rPr>
        <w:t xml:space="preserve">obligations and </w:t>
      </w:r>
      <w:r w:rsidR="74788C25" w:rsidRPr="19C0F0D8">
        <w:rPr>
          <w:rStyle w:val="normaltextrun"/>
          <w:rFonts w:ascii="Calibri" w:hAnsi="Calibri" w:cs="Calibri"/>
          <w:sz w:val="22"/>
          <w:szCs w:val="22"/>
        </w:rPr>
        <w:t>commitments</w:t>
      </w:r>
      <w:r w:rsidR="166BB6B4" w:rsidRPr="19C0F0D8">
        <w:rPr>
          <w:rStyle w:val="normaltextrun"/>
          <w:rFonts w:ascii="Calibri" w:hAnsi="Calibri" w:cs="Calibri"/>
          <w:sz w:val="22"/>
          <w:szCs w:val="22"/>
        </w:rPr>
        <w:t xml:space="preserve"> in relation to the protection concerns being examined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14:paraId="4CDD6E69" w14:textId="7BE03D97" w:rsidR="003A35BE" w:rsidRDefault="2BD6C5B8" w:rsidP="00BE3628">
      <w:pPr>
        <w:pStyle w:val="paragraph"/>
        <w:numPr>
          <w:ilvl w:val="1"/>
          <w:numId w:val="3"/>
        </w:numPr>
        <w:spacing w:before="0" w:beforeAutospacing="0" w:after="0" w:afterAutospacing="0"/>
        <w:ind w:right="-613"/>
        <w:textAlignment w:val="baseline"/>
        <w:rPr>
          <w:rStyle w:val="normaltextrun"/>
          <w:color w:val="000000" w:themeColor="text1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>Analysis from the perspective of rights holders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369E7B87" w:rsidRPr="19C0F0D8">
        <w:rPr>
          <w:rStyle w:val="normaltextrun"/>
          <w:rFonts w:ascii="Calibri" w:hAnsi="Calibri" w:cs="Calibri"/>
          <w:sz w:val="22"/>
          <w:szCs w:val="22"/>
        </w:rPr>
        <w:t>(</w:t>
      </w:r>
      <w:r w:rsidR="3AEEB08A" w:rsidRPr="19C0F0D8">
        <w:rPr>
          <w:rStyle w:val="normaltextrun"/>
          <w:rFonts w:ascii="Calibri" w:hAnsi="Calibri" w:cs="Calibri"/>
          <w:sz w:val="22"/>
          <w:szCs w:val="22"/>
        </w:rPr>
        <w:t>affected population</w:t>
      </w:r>
      <w:r w:rsidR="024F48AD" w:rsidRPr="19C0F0D8">
        <w:rPr>
          <w:rStyle w:val="normaltextrun"/>
          <w:rFonts w:ascii="Calibri" w:hAnsi="Calibri" w:cs="Calibri"/>
          <w:sz w:val="22"/>
          <w:szCs w:val="22"/>
        </w:rPr>
        <w:t>)</w:t>
      </w:r>
      <w:r w:rsidR="3AEEB08A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21B074CB" w:rsidRPr="19C0F0D8">
        <w:rPr>
          <w:rStyle w:val="normaltextrun"/>
          <w:rFonts w:ascii="Calibri" w:hAnsi="Calibri" w:cs="Calibri"/>
          <w:sz w:val="22"/>
          <w:szCs w:val="22"/>
        </w:rPr>
        <w:t xml:space="preserve">of the different ways in which </w:t>
      </w:r>
      <w:r w:rsidR="4B9AFD84" w:rsidRPr="19C0F0D8">
        <w:rPr>
          <w:rStyle w:val="normaltextrun"/>
          <w:rFonts w:ascii="Calibri" w:hAnsi="Calibri" w:cs="Calibri"/>
          <w:sz w:val="22"/>
          <w:szCs w:val="22"/>
        </w:rPr>
        <w:t xml:space="preserve">their rights are violated and </w:t>
      </w:r>
      <w:r w:rsidR="22093369" w:rsidRPr="19C0F0D8">
        <w:rPr>
          <w:rStyle w:val="normaltextrun"/>
          <w:rFonts w:ascii="Calibri" w:hAnsi="Calibri" w:cs="Calibri"/>
          <w:sz w:val="22"/>
          <w:szCs w:val="22"/>
        </w:rPr>
        <w:t xml:space="preserve">they </w:t>
      </w:r>
      <w:r w:rsidR="21B074CB" w:rsidRPr="19C0F0D8">
        <w:rPr>
          <w:rStyle w:val="normaltextrun"/>
          <w:rFonts w:ascii="Calibri" w:hAnsi="Calibri" w:cs="Calibri"/>
          <w:sz w:val="22"/>
          <w:szCs w:val="22"/>
        </w:rPr>
        <w:t xml:space="preserve">are at risk </w:t>
      </w:r>
      <w:r w:rsidR="05073C85" w:rsidRPr="19C0F0D8">
        <w:rPr>
          <w:rStyle w:val="normaltextrun"/>
          <w:rFonts w:ascii="Calibri" w:hAnsi="Calibri" w:cs="Calibri"/>
          <w:sz w:val="22"/>
          <w:szCs w:val="22"/>
        </w:rPr>
        <w:t>of</w:t>
      </w:r>
      <w:r w:rsidR="0C45AB2A" w:rsidRPr="19C0F0D8">
        <w:rPr>
          <w:rStyle w:val="normaltextrun"/>
          <w:rFonts w:ascii="Calibri" w:hAnsi="Calibri" w:cs="Calibri"/>
          <w:sz w:val="22"/>
          <w:szCs w:val="22"/>
        </w:rPr>
        <w:t xml:space="preserve"> human rights violations</w:t>
      </w:r>
      <w:r w:rsidR="3817BAC1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7915B7B3" w:rsidRPr="19C0F0D8">
        <w:rPr>
          <w:rStyle w:val="normaltextrun"/>
          <w:rFonts w:ascii="Calibri" w:hAnsi="Calibri" w:cs="Calibri"/>
          <w:sz w:val="22"/>
          <w:szCs w:val="22"/>
        </w:rPr>
        <w:t xml:space="preserve">and root causes </w:t>
      </w:r>
      <w:r w:rsidR="1ADE2523" w:rsidRPr="19C0F0D8">
        <w:rPr>
          <w:rStyle w:val="normaltextrun"/>
          <w:rFonts w:ascii="Calibri" w:hAnsi="Calibri" w:cs="Calibri"/>
          <w:sz w:val="22"/>
          <w:szCs w:val="22"/>
        </w:rPr>
        <w:t xml:space="preserve">- </w:t>
      </w:r>
      <w:proofErr w:type="gramStart"/>
      <w:r w:rsidR="1ADE2523" w:rsidRPr="19C0F0D8">
        <w:rPr>
          <w:rStyle w:val="normaltextrun"/>
          <w:rFonts w:ascii="Calibri" w:hAnsi="Calibri" w:cs="Calibri"/>
          <w:sz w:val="22"/>
          <w:szCs w:val="22"/>
        </w:rPr>
        <w:t>taking into account</w:t>
      </w:r>
      <w:proofErr w:type="gramEnd"/>
      <w:r w:rsidR="1ADE2523" w:rsidRPr="19C0F0D8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3817BAC1" w:rsidRPr="19C0F0D8">
        <w:rPr>
          <w:rStyle w:val="normaltextrun"/>
          <w:rFonts w:ascii="Calibri" w:hAnsi="Calibri" w:cs="Calibri"/>
          <w:sz w:val="22"/>
          <w:szCs w:val="22"/>
        </w:rPr>
        <w:t>age, gender and diversity considerations</w:t>
      </w:r>
    </w:p>
    <w:p w14:paraId="33766690" w14:textId="20F2E720" w:rsidR="003A35BE" w:rsidRDefault="16FEA71E" w:rsidP="19C0F0D8">
      <w:pPr>
        <w:pStyle w:val="paragraph"/>
        <w:numPr>
          <w:ilvl w:val="0"/>
          <w:numId w:val="3"/>
        </w:numPr>
        <w:spacing w:before="0" w:beforeAutospacing="0" w:after="0" w:afterAutospacing="0"/>
        <w:ind w:right="-613"/>
        <w:textAlignment w:val="baseline"/>
        <w:rPr>
          <w:rStyle w:val="normaltextrun"/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Analysis of t</w:t>
      </w:r>
      <w:r w:rsidR="18E822BE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he impact of human rights violations on IDPs and other affected populations, and whether any individuals or groups were left behind</w:t>
      </w:r>
      <w:r w:rsidR="31540681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and why</w:t>
      </w:r>
    </w:p>
    <w:p w14:paraId="5A90F9A5" w14:textId="638082E9" w:rsidR="003A35BE" w:rsidRDefault="06D1AFA2" w:rsidP="19C0F0D8">
      <w:pPr>
        <w:pStyle w:val="paragraph"/>
        <w:numPr>
          <w:ilvl w:val="0"/>
          <w:numId w:val="3"/>
        </w:numPr>
        <w:spacing w:before="0" w:beforeAutospacing="0" w:after="0" w:afterAutospacing="0"/>
        <w:ind w:right="-613"/>
        <w:textAlignment w:val="baseline"/>
        <w:rPr>
          <w:rStyle w:val="normaltextrun"/>
          <w:color w:val="000000" w:themeColor="text1"/>
          <w:sz w:val="22"/>
          <w:szCs w:val="22"/>
        </w:rPr>
      </w:pP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Participation of </w:t>
      </w:r>
      <w:r w:rsidR="10A6791A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all relevant </w:t>
      </w: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stakeholders</w:t>
      </w:r>
      <w:r w:rsidR="198A577B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including civil society</w:t>
      </w:r>
      <w:r w:rsidR="32807B7A"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,</w:t>
      </w:r>
      <w:r w:rsidRPr="19C0F0D8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in the analysis and response</w:t>
      </w:r>
    </w:p>
    <w:p w14:paraId="2CC4FEC7" w14:textId="00457376" w:rsidR="003A35BE" w:rsidRPr="00BE3628" w:rsidRDefault="003A35BE" w:rsidP="70607FEF">
      <w:pPr>
        <w:pStyle w:val="paragraph"/>
        <w:spacing w:before="0" w:beforeAutospacing="0" w:after="0" w:afterAutospacing="0"/>
        <w:ind w:right="-613"/>
        <w:textAlignment w:val="baseline"/>
        <w:rPr>
          <w:rStyle w:val="normaltextrun"/>
          <w:color w:val="000000" w:themeColor="text1"/>
          <w:sz w:val="22"/>
          <w:szCs w:val="22"/>
        </w:rPr>
      </w:pPr>
    </w:p>
    <w:p w14:paraId="730F3FF7" w14:textId="14CCC898" w:rsidR="005804DA" w:rsidRDefault="003A35BE" w:rsidP="70607FEF">
      <w:pPr>
        <w:pStyle w:val="paragraph"/>
        <w:spacing w:before="0" w:beforeAutospacing="0" w:after="0" w:afterAutospacing="0"/>
        <w:ind w:left="-567" w:right="-613"/>
        <w:rPr>
          <w:rStyle w:val="eop"/>
          <w:rFonts w:ascii="Calibri" w:hAnsi="Calibri" w:cs="Calibri"/>
          <w:b/>
          <w:bCs/>
          <w:sz w:val="22"/>
          <w:szCs w:val="22"/>
        </w:rPr>
      </w:pPr>
      <w:r w:rsidRPr="70607FEF">
        <w:rPr>
          <w:rStyle w:val="normaltextrun"/>
          <w:rFonts w:ascii="Calibri" w:hAnsi="Calibri" w:cs="Calibri"/>
          <w:b/>
          <w:bCs/>
          <w:sz w:val="22"/>
          <w:szCs w:val="22"/>
        </w:rPr>
        <w:t>It can help to have the following questions in mind:</w:t>
      </w:r>
    </w:p>
    <w:p w14:paraId="6FA35030" w14:textId="6E69405D" w:rsidR="005804DA" w:rsidRDefault="003A35BE" w:rsidP="70607FEF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70607FEF">
        <w:rPr>
          <w:rStyle w:val="normaltextrun"/>
          <w:rFonts w:ascii="Calibri" w:hAnsi="Calibri" w:cs="Calibri"/>
          <w:sz w:val="22"/>
          <w:szCs w:val="22"/>
        </w:rPr>
        <w:t>Which rights are affected?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6318F982" w14:textId="385CA4A4" w:rsidR="005804DA" w:rsidRDefault="003A35BE" w:rsidP="70607FEF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70607FEF">
        <w:rPr>
          <w:rStyle w:val="normaltextrun"/>
          <w:rFonts w:ascii="Calibri" w:hAnsi="Calibri" w:cs="Calibri"/>
          <w:sz w:val="22"/>
          <w:szCs w:val="22"/>
        </w:rPr>
        <w:t>Who is affected by the human rights concern?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0E11743E" w14:textId="11BACD53" w:rsidR="005804DA" w:rsidRDefault="5860E1FE" w:rsidP="19C0F0D8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>What and who is the source</w:t>
      </w:r>
      <w:r w:rsidR="48E4C7E7" w:rsidRPr="19C0F0D8">
        <w:rPr>
          <w:rStyle w:val="normaltextrun"/>
          <w:rFonts w:ascii="Calibri" w:hAnsi="Calibri" w:cs="Calibri"/>
          <w:sz w:val="22"/>
          <w:szCs w:val="22"/>
        </w:rPr>
        <w:t xml:space="preserve">/root cause </w:t>
      </w:r>
      <w:r w:rsidRPr="19C0F0D8">
        <w:rPr>
          <w:rStyle w:val="normaltextrun"/>
          <w:rFonts w:ascii="Calibri" w:hAnsi="Calibri" w:cs="Calibri"/>
          <w:sz w:val="22"/>
          <w:szCs w:val="22"/>
        </w:rPr>
        <w:t>of the human rights threat?</w:t>
      </w:r>
      <w:r w:rsidRPr="19C0F0D8">
        <w:rPr>
          <w:rStyle w:val="eop"/>
          <w:rFonts w:ascii="Calibri" w:hAnsi="Calibri" w:cs="Calibri"/>
          <w:sz w:val="22"/>
          <w:szCs w:val="22"/>
        </w:rPr>
        <w:t> </w:t>
      </w:r>
    </w:p>
    <w:p w14:paraId="6FF406C4" w14:textId="142A246C" w:rsidR="005804DA" w:rsidRDefault="003A35BE" w:rsidP="70607FEF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70607FEF">
        <w:rPr>
          <w:rStyle w:val="normaltextrun"/>
          <w:rFonts w:ascii="Calibri" w:hAnsi="Calibri" w:cs="Calibri"/>
          <w:sz w:val="22"/>
          <w:szCs w:val="22"/>
        </w:rPr>
        <w:t>Does that threat relate to a gap in law or policy?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130DC7EC" w14:textId="6E6C4034" w:rsidR="005804DA" w:rsidRDefault="003A35BE" w:rsidP="70607FEF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70607FEF">
        <w:rPr>
          <w:rStyle w:val="normaltextrun"/>
          <w:rFonts w:ascii="Calibri" w:hAnsi="Calibri" w:cs="Calibri"/>
          <w:sz w:val="22"/>
          <w:szCs w:val="22"/>
        </w:rPr>
        <w:t>Does that threat relate to an inadequate interpretation or application of the law or policy?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649D22A1" w14:textId="4663979C" w:rsidR="005804DA" w:rsidRDefault="5860E1FE" w:rsidP="19C0F0D8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Does that threat relate to ineffective institutions </w:t>
      </w:r>
      <w:r w:rsidR="066C92EB" w:rsidRPr="19C0F0D8">
        <w:rPr>
          <w:rStyle w:val="normaltextrun"/>
          <w:rFonts w:ascii="Calibri" w:hAnsi="Calibri" w:cs="Calibri"/>
          <w:sz w:val="22"/>
          <w:szCs w:val="22"/>
        </w:rPr>
        <w:t>that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 cannot enforce the law?</w:t>
      </w:r>
      <w:r w:rsidRPr="19C0F0D8">
        <w:rPr>
          <w:rStyle w:val="eop"/>
          <w:rFonts w:ascii="Calibri" w:hAnsi="Calibri" w:cs="Calibri"/>
          <w:sz w:val="22"/>
          <w:szCs w:val="22"/>
        </w:rPr>
        <w:t> </w:t>
      </w:r>
    </w:p>
    <w:p w14:paraId="760862D0" w14:textId="1C80B425" w:rsidR="005804DA" w:rsidRDefault="003A35BE" w:rsidP="70607FEF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70607FEF"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Are there particular State practices </w:t>
      </w:r>
      <w:r w:rsidR="233FC692" w:rsidRPr="70607FEF">
        <w:rPr>
          <w:rStyle w:val="normaltextrun"/>
          <w:rFonts w:ascii="Calibri" w:hAnsi="Calibri" w:cs="Calibri"/>
          <w:sz w:val="22"/>
          <w:szCs w:val="22"/>
        </w:rPr>
        <w:t>that</w:t>
      </w:r>
      <w:r w:rsidRPr="70607FEF">
        <w:rPr>
          <w:rStyle w:val="normaltextrun"/>
          <w:rFonts w:ascii="Calibri" w:hAnsi="Calibri" w:cs="Calibri"/>
          <w:sz w:val="22"/>
          <w:szCs w:val="22"/>
        </w:rPr>
        <w:t xml:space="preserve"> are encouraging or failing to protect against threats? </w:t>
      </w:r>
      <w:r w:rsidRPr="70607FEF">
        <w:rPr>
          <w:rStyle w:val="eop"/>
          <w:rFonts w:ascii="Calibri" w:hAnsi="Calibri" w:cs="Calibri"/>
          <w:sz w:val="22"/>
          <w:szCs w:val="22"/>
        </w:rPr>
        <w:t> </w:t>
      </w:r>
    </w:p>
    <w:p w14:paraId="1F1F8AEF" w14:textId="5037154F" w:rsidR="005804DA" w:rsidRDefault="5860E1FE" w:rsidP="19C0F0D8">
      <w:pPr>
        <w:pStyle w:val="paragraph"/>
        <w:numPr>
          <w:ilvl w:val="0"/>
          <w:numId w:val="2"/>
        </w:numPr>
        <w:spacing w:before="0" w:beforeAutospacing="0" w:after="0" w:afterAutospacing="0"/>
        <w:ind w:right="-613"/>
        <w:rPr>
          <w:rFonts w:asciiTheme="minorHAnsi" w:eastAsiaTheme="minorEastAsia" w:hAnsiTheme="minorHAnsi" w:cstheme="minorBidi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>What is the link between the human rights threats and the human rights standards?</w:t>
      </w:r>
      <w:r w:rsidRPr="19C0F0D8">
        <w:rPr>
          <w:rStyle w:val="eop"/>
          <w:rFonts w:ascii="Calibri" w:hAnsi="Calibri" w:cs="Calibri"/>
          <w:sz w:val="22"/>
          <w:szCs w:val="22"/>
        </w:rPr>
        <w:t> </w:t>
      </w:r>
    </w:p>
    <w:p w14:paraId="4F286415" w14:textId="5541CCD3" w:rsidR="0029266C" w:rsidRPr="00BE3628" w:rsidRDefault="0029266C" w:rsidP="19C0F0D8">
      <w:pPr>
        <w:pStyle w:val="paragraph"/>
        <w:spacing w:before="0" w:beforeAutospacing="0" w:after="0" w:afterAutospacing="0"/>
        <w:ind w:right="-613"/>
        <w:rPr>
          <w:rStyle w:val="eop"/>
          <w:sz w:val="22"/>
          <w:szCs w:val="22"/>
        </w:rPr>
      </w:pPr>
    </w:p>
    <w:p w14:paraId="2165EEE4" w14:textId="17251D01" w:rsidR="0029266C" w:rsidRPr="004C134A" w:rsidRDefault="1B7D86D6" w:rsidP="3B9EB13C">
      <w:pPr>
        <w:pStyle w:val="paragraph"/>
        <w:spacing w:before="0" w:beforeAutospacing="0" w:after="0" w:afterAutospacing="0"/>
        <w:ind w:left="-567" w:right="-613"/>
        <w:jc w:val="both"/>
        <w:rPr>
          <w:rStyle w:val="normaltextrun"/>
          <w:rFonts w:ascii="Calibri" w:hAnsi="Calibri" w:cs="Calibri"/>
          <w:sz w:val="22"/>
          <w:szCs w:val="22"/>
        </w:rPr>
      </w:pPr>
      <w:r w:rsidRPr="3B9EB13C">
        <w:rPr>
          <w:rStyle w:val="normaltextrun"/>
          <w:rFonts w:ascii="Calibri" w:hAnsi="Calibri" w:cs="Calibri"/>
          <w:b/>
          <w:bCs/>
          <w:sz w:val="22"/>
          <w:szCs w:val="22"/>
        </w:rPr>
        <w:t>Example:</w:t>
      </w:r>
      <w:r w:rsidRPr="3B9EB13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67A25" w:rsidRPr="3B9EB13C">
        <w:rPr>
          <w:rStyle w:val="normaltextrun"/>
          <w:rFonts w:ascii="Calibri" w:hAnsi="Calibri" w:cs="Calibri"/>
          <w:sz w:val="22"/>
          <w:szCs w:val="22"/>
        </w:rPr>
        <w:t>S</w:t>
      </w:r>
      <w:r w:rsidRPr="3B9EB13C">
        <w:rPr>
          <w:rStyle w:val="normaltextrun"/>
          <w:rFonts w:ascii="Calibri" w:hAnsi="Calibri" w:cs="Calibri"/>
          <w:sz w:val="22"/>
          <w:szCs w:val="22"/>
        </w:rPr>
        <w:t xml:space="preserve">ituation of discrimination against persons of concern with disabilities. </w:t>
      </w:r>
    </w:p>
    <w:p w14:paraId="411F243A" w14:textId="7EE1DAA4" w:rsidR="0029266C" w:rsidRPr="004C134A" w:rsidRDefault="3B1BDA84" w:rsidP="19C0F0D8">
      <w:pPr>
        <w:pStyle w:val="paragraph"/>
        <w:spacing w:before="0" w:beforeAutospacing="0" w:after="0" w:afterAutospacing="0"/>
        <w:ind w:left="-567" w:right="-613"/>
        <w:jc w:val="both"/>
        <w:rPr>
          <w:rStyle w:val="eop"/>
          <w:rFonts w:ascii="Calibri" w:hAnsi="Calibri" w:cs="Calibri"/>
          <w:sz w:val="22"/>
          <w:szCs w:val="22"/>
        </w:rPr>
      </w:pPr>
      <w:r w:rsidRPr="19C0F0D8">
        <w:rPr>
          <w:rStyle w:val="normaltextrun"/>
          <w:rFonts w:ascii="Calibri" w:hAnsi="Calibri" w:cs="Calibri"/>
          <w:sz w:val="22"/>
          <w:szCs w:val="22"/>
        </w:rPr>
        <w:t>What do we need to understand about the situation of discrimination against IDPs with disabilities? We need to understand the causes of the different forms of exclusion and discrimination; to understand cultural perception of disability in the host community, or among communities of affected population</w:t>
      </w:r>
      <w:r w:rsidR="2C14B3B8" w:rsidRPr="19C0F0D8">
        <w:rPr>
          <w:rStyle w:val="normaltextrun"/>
          <w:rFonts w:ascii="Calibri" w:hAnsi="Calibri" w:cs="Calibri"/>
          <w:sz w:val="22"/>
          <w:szCs w:val="22"/>
        </w:rPr>
        <w:t>s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; to understand how persons of disability are treated depending on their age, </w:t>
      </w:r>
      <w:proofErr w:type="gramStart"/>
      <w:r w:rsidRPr="19C0F0D8">
        <w:rPr>
          <w:rStyle w:val="normaltextrun"/>
          <w:rFonts w:ascii="Calibri" w:hAnsi="Calibri" w:cs="Calibri"/>
          <w:sz w:val="22"/>
          <w:szCs w:val="22"/>
        </w:rPr>
        <w:t>gender</w:t>
      </w:r>
      <w:proofErr w:type="gramEnd"/>
      <w:r w:rsidRPr="19C0F0D8">
        <w:rPr>
          <w:rStyle w:val="normaltextrun"/>
          <w:rFonts w:ascii="Calibri" w:hAnsi="Calibri" w:cs="Calibri"/>
          <w:sz w:val="22"/>
          <w:szCs w:val="22"/>
        </w:rPr>
        <w:t xml:space="preserve"> and other diversity considerations; or to understand how disability is defined and addressed in the legal and policy frameworks. But can we also dig deeper? A human rights lens calls for a closer look at issues like what rights are impacted in this situation, what are the root causes, who are the perpetrators, what are the legal frameworks relevant at domestic, regional,</w:t>
      </w:r>
      <w:r w:rsidR="783ED011" w:rsidRPr="19C0F0D8">
        <w:rPr>
          <w:rStyle w:val="normaltextrun"/>
          <w:rFonts w:ascii="Calibri" w:hAnsi="Calibri" w:cs="Calibri"/>
          <w:sz w:val="22"/>
          <w:szCs w:val="22"/>
        </w:rPr>
        <w:t xml:space="preserve"> and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 global level</w:t>
      </w:r>
      <w:r w:rsidR="10511F2D" w:rsidRPr="19C0F0D8">
        <w:rPr>
          <w:rStyle w:val="normaltextrun"/>
          <w:rFonts w:ascii="Calibri" w:hAnsi="Calibri" w:cs="Calibri"/>
          <w:sz w:val="22"/>
          <w:szCs w:val="22"/>
        </w:rPr>
        <w:t>s</w:t>
      </w:r>
      <w:r w:rsidRPr="19C0F0D8">
        <w:rPr>
          <w:rStyle w:val="normaltextrun"/>
          <w:rFonts w:ascii="Calibri" w:hAnsi="Calibri" w:cs="Calibri"/>
          <w:sz w:val="22"/>
          <w:szCs w:val="22"/>
        </w:rPr>
        <w:t xml:space="preserve"> etc.</w:t>
      </w:r>
      <w:r w:rsidRPr="19C0F0D8">
        <w:rPr>
          <w:rStyle w:val="eop"/>
          <w:rFonts w:ascii="Calibri" w:hAnsi="Calibri" w:cs="Calibri"/>
          <w:sz w:val="22"/>
          <w:szCs w:val="22"/>
        </w:rPr>
        <w:t> </w:t>
      </w:r>
    </w:p>
    <w:p w14:paraId="05EACBB2" w14:textId="76100AFB" w:rsidR="0029266C" w:rsidRPr="004C134A" w:rsidRDefault="0029266C" w:rsidP="70607FEF">
      <w:pPr>
        <w:pStyle w:val="paragraph"/>
        <w:spacing w:before="0" w:beforeAutospacing="0" w:after="0" w:afterAutospacing="0"/>
        <w:ind w:left="-567" w:right="-613"/>
        <w:jc w:val="both"/>
        <w:rPr>
          <w:rStyle w:val="eop"/>
          <w:rFonts w:asciiTheme="minorHAnsi" w:eastAsiaTheme="minorEastAsia" w:hAnsiTheme="minorHAnsi" w:cstheme="minorBidi"/>
          <w:sz w:val="22"/>
          <w:szCs w:val="22"/>
        </w:rPr>
      </w:pPr>
    </w:p>
    <w:p w14:paraId="0B4C869E" w14:textId="24EFB802" w:rsidR="0029266C" w:rsidRPr="004C134A" w:rsidRDefault="510873A6" w:rsidP="70607FEF">
      <w:pPr>
        <w:pStyle w:val="paragraph"/>
        <w:spacing w:before="0" w:beforeAutospacing="0" w:after="0" w:afterAutospacing="0"/>
        <w:ind w:left="-567" w:right="-613"/>
        <w:jc w:val="both"/>
        <w:rPr>
          <w:rStyle w:val="eop"/>
          <w:b/>
          <w:bCs/>
        </w:rPr>
      </w:pPr>
      <w:r w:rsidRPr="70607FEF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 xml:space="preserve">Key sources of human rights </w:t>
      </w:r>
      <w:r w:rsidR="7D73C0D5" w:rsidRPr="70607FEF">
        <w:rPr>
          <w:rStyle w:val="eop"/>
          <w:rFonts w:asciiTheme="minorHAnsi" w:eastAsiaTheme="minorEastAsia" w:hAnsiTheme="minorHAnsi" w:cstheme="minorBidi"/>
          <w:b/>
          <w:bCs/>
          <w:sz w:val="22"/>
          <w:szCs w:val="22"/>
        </w:rPr>
        <w:t>information and analysis to make use of:</w:t>
      </w:r>
    </w:p>
    <w:p w14:paraId="39AF16C1" w14:textId="1C525FCD" w:rsidR="0029266C" w:rsidRPr="004C134A" w:rsidRDefault="14C48E99" w:rsidP="3B9EB13C">
      <w:pPr>
        <w:pStyle w:val="paragraph"/>
        <w:numPr>
          <w:ilvl w:val="0"/>
          <w:numId w:val="1"/>
        </w:numPr>
        <w:spacing w:before="0" w:beforeAutospacing="0" w:after="0" w:afterAutospacing="0"/>
        <w:ind w:right="-613"/>
        <w:jc w:val="both"/>
        <w:rPr>
          <w:rStyle w:val="eop"/>
          <w:rFonts w:asciiTheme="minorHAnsi" w:eastAsiaTheme="minorEastAsia" w:hAnsiTheme="minorHAnsi" w:cstheme="minorBidi"/>
          <w:sz w:val="22"/>
          <w:szCs w:val="22"/>
        </w:rPr>
      </w:pPr>
      <w:r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>N</w:t>
      </w:r>
      <w:r w:rsidR="0FAD58D8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ational </w:t>
      </w:r>
      <w:r w:rsidR="4A39A085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and regional </w:t>
      </w:r>
      <w:r w:rsidR="0FAD58D8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human rights </w:t>
      </w:r>
      <w:r w:rsidR="00F14D0E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>i</w:t>
      </w:r>
      <w:r w:rsidR="0FAD58D8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>nstitution</w:t>
      </w:r>
      <w:r w:rsidR="624096ED" w:rsidRPr="3B9EB13C">
        <w:rPr>
          <w:rStyle w:val="eop"/>
          <w:rFonts w:asciiTheme="minorHAnsi" w:eastAsiaTheme="minorEastAsia" w:hAnsiTheme="minorHAnsi" w:cstheme="minorBidi"/>
          <w:sz w:val="22"/>
          <w:szCs w:val="22"/>
        </w:rPr>
        <w:t>s</w:t>
      </w:r>
    </w:p>
    <w:p w14:paraId="282D1459" w14:textId="57A3C4DD" w:rsidR="0029266C" w:rsidRPr="004C134A" w:rsidRDefault="772069F3" w:rsidP="19C0F0D8">
      <w:pPr>
        <w:pStyle w:val="paragraph"/>
        <w:numPr>
          <w:ilvl w:val="0"/>
          <w:numId w:val="1"/>
        </w:numPr>
        <w:spacing w:before="0" w:beforeAutospacing="0" w:after="0" w:afterAutospacing="0"/>
        <w:ind w:right="-613"/>
        <w:jc w:val="both"/>
        <w:rPr>
          <w:rStyle w:val="eop"/>
          <w:sz w:val="22"/>
          <w:szCs w:val="22"/>
        </w:rPr>
      </w:pPr>
      <w:r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>UN Human Rights</w:t>
      </w:r>
      <w:r w:rsidR="1C8B1DBF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mechanisms and bodies</w:t>
      </w:r>
      <w:r w:rsidR="5962F0BE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>,</w:t>
      </w:r>
      <w:r w:rsidR="1C8B1DBF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36F62206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>including</w:t>
      </w:r>
      <w:r w:rsidR="4816944B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reports of</w:t>
      </w:r>
      <w:r w:rsidR="36F62206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</w:t>
      </w:r>
      <w:hyperlink r:id="rId15">
        <w:r w:rsidR="36F62206" w:rsidRPr="19C0F0D8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 xml:space="preserve">independent </w:t>
        </w:r>
        <w:r w:rsidR="12AD1508" w:rsidRPr="19C0F0D8">
          <w:rPr>
            <w:rStyle w:val="Hyperlink"/>
            <w:rFonts w:asciiTheme="minorHAnsi" w:eastAsiaTheme="minorEastAsia" w:hAnsiTheme="minorHAnsi" w:cstheme="minorBidi"/>
            <w:sz w:val="22"/>
            <w:szCs w:val="22"/>
          </w:rPr>
          <w:t>human rights experts</w:t>
        </w:r>
      </w:hyperlink>
      <w:r w:rsidR="36F62206" w:rsidRPr="19C0F0D8">
        <w:rPr>
          <w:rStyle w:val="eop"/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14:paraId="0BDB8A5B" w14:textId="58D74EBC" w:rsidR="0029266C" w:rsidRPr="004C134A" w:rsidRDefault="0029266C" w:rsidP="70607FEF">
      <w:pPr>
        <w:spacing w:after="0"/>
        <w:ind w:left="-567" w:right="-613"/>
        <w:rPr>
          <w:rFonts w:eastAsiaTheme="minorEastAsia"/>
          <w:b/>
          <w:bCs/>
        </w:rPr>
      </w:pPr>
    </w:p>
    <w:p w14:paraId="4D48EBE4" w14:textId="3C62C0BB" w:rsidR="0029266C" w:rsidRDefault="458BF0C6" w:rsidP="70607FEF">
      <w:pPr>
        <w:spacing w:after="0"/>
        <w:ind w:left="-567" w:right="-613"/>
        <w:rPr>
          <w:b/>
          <w:bCs/>
        </w:rPr>
      </w:pPr>
      <w:r w:rsidRPr="3B9EB13C">
        <w:rPr>
          <w:rFonts w:eastAsiaTheme="minorEastAsia"/>
          <w:b/>
          <w:bCs/>
        </w:rPr>
        <w:t>What support is a</w:t>
      </w:r>
      <w:r w:rsidRPr="3B9EB13C">
        <w:rPr>
          <w:b/>
          <w:bCs/>
        </w:rPr>
        <w:t>vailable?</w:t>
      </w:r>
    </w:p>
    <w:p w14:paraId="3FFF3ECC" w14:textId="6ED1831A" w:rsidR="0029266C" w:rsidRPr="004C134A" w:rsidRDefault="3CBCDE7F" w:rsidP="19C0F0D8">
      <w:pPr>
        <w:spacing w:after="0"/>
        <w:ind w:left="-567" w:right="-613"/>
        <w:rPr>
          <w:rFonts w:eastAsiaTheme="minorEastAsia"/>
          <w:b/>
          <w:bCs/>
        </w:rPr>
      </w:pPr>
      <w:r w:rsidRPr="3B9EB13C">
        <w:t>W</w:t>
      </w:r>
      <w:r>
        <w:t>e encourage that a discussion be held with Protection Cluster and OHCHR and/or Human Rights Advisors in country first</w:t>
      </w:r>
      <w:r w:rsidRPr="3B9EB13C">
        <w:t>.</w:t>
      </w:r>
      <w:r w:rsidR="109AAA91" w:rsidRPr="3B9EB13C">
        <w:t xml:space="preserve"> </w:t>
      </w:r>
      <w:r w:rsidR="3B419476" w:rsidRPr="00E728BC">
        <w:t>You</w:t>
      </w:r>
      <w:r w:rsidR="3E076CA6" w:rsidRPr="00E728BC">
        <w:t xml:space="preserve"> </w:t>
      </w:r>
      <w:r w:rsidR="3EBCDF5C" w:rsidRPr="00E728BC">
        <w:t xml:space="preserve">can </w:t>
      </w:r>
      <w:r w:rsidR="4AEB1193" w:rsidRPr="00E728BC">
        <w:t xml:space="preserve">also </w:t>
      </w:r>
      <w:hyperlink r:id="rId16" w:history="1">
        <w:r w:rsidR="71C2F92B" w:rsidRPr="00E728BC">
          <w:rPr>
            <w:rStyle w:val="Hyperlink"/>
          </w:rPr>
          <w:t>contact</w:t>
        </w:r>
        <w:r w:rsidRPr="00E728BC">
          <w:rPr>
            <w:rStyle w:val="Hyperlink"/>
          </w:rPr>
          <w:t xml:space="preserve"> </w:t>
        </w:r>
        <w:r w:rsidR="73334CFA" w:rsidRPr="00E728BC">
          <w:rPr>
            <w:rStyle w:val="Hyperlink"/>
          </w:rPr>
          <w:t>your respective agency</w:t>
        </w:r>
        <w:r w:rsidR="3EBCDF5C" w:rsidRPr="00E728BC">
          <w:rPr>
            <w:rStyle w:val="Hyperlink"/>
          </w:rPr>
          <w:t xml:space="preserve"> FP</w:t>
        </w:r>
        <w:r w:rsidR="06011D37" w:rsidRPr="00E728BC">
          <w:rPr>
            <w:rStyle w:val="Hyperlink"/>
          </w:rPr>
          <w:t xml:space="preserve"> </w:t>
        </w:r>
        <w:r w:rsidRPr="00E728BC">
          <w:rPr>
            <w:rStyle w:val="Hyperlink"/>
          </w:rPr>
          <w:t xml:space="preserve">on </w:t>
        </w:r>
        <w:r w:rsidR="65F05D07" w:rsidRPr="00E728BC">
          <w:rPr>
            <w:rStyle w:val="Hyperlink"/>
          </w:rPr>
          <w:t xml:space="preserve">the </w:t>
        </w:r>
        <w:r w:rsidRPr="00E728BC">
          <w:rPr>
            <w:rStyle w:val="Hyperlink"/>
          </w:rPr>
          <w:t xml:space="preserve">Call to Action </w:t>
        </w:r>
        <w:r w:rsidR="06011D37" w:rsidRPr="00E728BC">
          <w:rPr>
            <w:rStyle w:val="Hyperlink"/>
          </w:rPr>
          <w:t>by email</w:t>
        </w:r>
      </w:hyperlink>
      <w:r w:rsidR="3EBCDF5C" w:rsidRPr="00E728BC">
        <w:t xml:space="preserve"> to ask questions</w:t>
      </w:r>
      <w:r w:rsidR="7A582FBE" w:rsidRPr="00E728BC">
        <w:t xml:space="preserve"> or</w:t>
      </w:r>
      <w:r w:rsidR="513B9CD3" w:rsidRPr="00E728BC">
        <w:t xml:space="preserve"> to</w:t>
      </w:r>
      <w:r w:rsidR="7A582FBE" w:rsidRPr="00E728BC">
        <w:t xml:space="preserve"> discuss</w:t>
      </w:r>
      <w:r w:rsidR="3EBCDF5C" w:rsidRPr="00E728BC">
        <w:t xml:space="preserve"> </w:t>
      </w:r>
      <w:r w:rsidR="1AEF6622" w:rsidRPr="00E728BC">
        <w:t xml:space="preserve">any aspects of </w:t>
      </w:r>
      <w:r w:rsidR="2392098D" w:rsidRPr="00E728BC">
        <w:t>C2A implementation</w:t>
      </w:r>
      <w:r w:rsidR="17DA8266" w:rsidRPr="00E728BC">
        <w:t>. A</w:t>
      </w:r>
      <w:r w:rsidR="1AEF6622" w:rsidRPr="00E728BC">
        <w:t xml:space="preserve"> non-exhaustive list of possible areas </w:t>
      </w:r>
      <w:r w:rsidR="40844BD6" w:rsidRPr="00E728BC">
        <w:t xml:space="preserve">for support are </w:t>
      </w:r>
      <w:r w:rsidR="1AEF6622" w:rsidRPr="00E728BC">
        <w:t>noted below</w:t>
      </w:r>
      <w:r w:rsidR="7A8FF224" w:rsidRPr="00E728BC">
        <w:t>:</w:t>
      </w:r>
    </w:p>
    <w:p w14:paraId="305BDC49" w14:textId="115DF34E" w:rsidR="0029266C" w:rsidRPr="004C134A" w:rsidRDefault="27FD1EEF" w:rsidP="70607FEF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70607FEF">
        <w:rPr>
          <w:b/>
          <w:bCs/>
        </w:rPr>
        <w:t>Information</w:t>
      </w:r>
      <w:r w:rsidRPr="70607FEF">
        <w:t xml:space="preserve"> - </w:t>
      </w:r>
      <w:r w:rsidR="287317F7" w:rsidRPr="70607FEF">
        <w:t>I would like more information about w</w:t>
      </w:r>
      <w:r w:rsidR="05EEDD7F" w:rsidRPr="70607FEF">
        <w:t xml:space="preserve">hat the Call to Action </w:t>
      </w:r>
      <w:r w:rsidR="5109271F" w:rsidRPr="70607FEF">
        <w:t xml:space="preserve">is </w:t>
      </w:r>
      <w:r w:rsidR="05EEDD7F" w:rsidRPr="70607FEF">
        <w:t>about and</w:t>
      </w:r>
      <w:r w:rsidR="39D98398" w:rsidRPr="70607FEF">
        <w:t xml:space="preserve"> to</w:t>
      </w:r>
      <w:r w:rsidR="05EEDD7F" w:rsidRPr="70607FEF">
        <w:t xml:space="preserve"> brainstorm about what it means for </w:t>
      </w:r>
      <w:r w:rsidR="6B9BE341" w:rsidRPr="70607FEF">
        <w:t>my</w:t>
      </w:r>
      <w:r w:rsidR="05EEDD7F" w:rsidRPr="70607FEF">
        <w:t xml:space="preserve"> operation</w:t>
      </w:r>
      <w:r w:rsidR="0060151A">
        <w:t xml:space="preserve"> and how we can use it to advance our objectives </w:t>
      </w:r>
    </w:p>
    <w:p w14:paraId="00C23C0A" w14:textId="60D09CA3" w:rsidR="0029266C" w:rsidRPr="004C134A" w:rsidRDefault="332ED681" w:rsidP="19C0F0D8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19C0F0D8">
        <w:rPr>
          <w:b/>
          <w:bCs/>
        </w:rPr>
        <w:t>Capacity building</w:t>
      </w:r>
      <w:r w:rsidR="341B5B8E" w:rsidRPr="19C0F0D8">
        <w:rPr>
          <w:b/>
          <w:bCs/>
        </w:rPr>
        <w:t>:</w:t>
      </w:r>
      <w:r>
        <w:t xml:space="preserve"> </w:t>
      </w:r>
      <w:r w:rsidR="3EBCDF5C">
        <w:t xml:space="preserve">I would like to know what training materials and resources on human rights exist (including e-learning, training modules, </w:t>
      </w:r>
      <w:proofErr w:type="gramStart"/>
      <w:r w:rsidR="3EBCDF5C">
        <w:t>guides</w:t>
      </w:r>
      <w:proofErr w:type="gramEnd"/>
      <w:r w:rsidR="3EBCDF5C">
        <w:t xml:space="preserve"> and availability in various languages)</w:t>
      </w:r>
      <w:r w:rsidR="6CC5627F">
        <w:t>, and w</w:t>
      </w:r>
      <w:r w:rsidR="3FAAAFD4">
        <w:t xml:space="preserve">hat support is available to organize a training/workshop at country level on human rights related topics (for example with </w:t>
      </w:r>
      <w:r w:rsidR="0B263474">
        <w:t xml:space="preserve">regards to </w:t>
      </w:r>
      <w:r w:rsidR="33E4C92B">
        <w:t xml:space="preserve">supporting </w:t>
      </w:r>
      <w:r w:rsidR="3FAAAFD4">
        <w:t>materials, facilitation etc.)</w:t>
      </w:r>
      <w:r w:rsidR="457BC2B8">
        <w:t>?</w:t>
      </w:r>
    </w:p>
    <w:p w14:paraId="5A5E53E3" w14:textId="3DC50EF0" w:rsidR="0029266C" w:rsidRPr="004C134A" w:rsidRDefault="4418F5A9" w:rsidP="19C0F0D8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19C0F0D8">
        <w:rPr>
          <w:b/>
          <w:bCs/>
        </w:rPr>
        <w:t>Human rights analysis</w:t>
      </w:r>
      <w:r w:rsidR="57A945E7" w:rsidRPr="19C0F0D8">
        <w:rPr>
          <w:b/>
          <w:bCs/>
        </w:rPr>
        <w:t xml:space="preserve"> as part of the Protection Analytical Framework (PAF)</w:t>
      </w:r>
      <w:r w:rsidR="13C5CDFF" w:rsidRPr="19C0F0D8">
        <w:rPr>
          <w:b/>
          <w:bCs/>
        </w:rPr>
        <w:t xml:space="preserve">: </w:t>
      </w:r>
      <w:r>
        <w:t xml:space="preserve"> </w:t>
      </w:r>
      <w:r w:rsidR="3EBCDF5C">
        <w:t xml:space="preserve">I would like </w:t>
      </w:r>
      <w:r w:rsidR="0111DE0C">
        <w:t>to receive</w:t>
      </w:r>
      <w:r w:rsidR="3EBCDF5C">
        <w:t xml:space="preserve"> support to </w:t>
      </w:r>
      <w:r w:rsidR="6F5D271F">
        <w:t>strengthen</w:t>
      </w:r>
      <w:r w:rsidR="3EBCDF5C">
        <w:t xml:space="preserve"> </w:t>
      </w:r>
      <w:r w:rsidR="03ECC0D1">
        <w:t>my</w:t>
      </w:r>
      <w:r w:rsidR="3EBCDF5C">
        <w:t xml:space="preserve"> current human rights analysis system</w:t>
      </w:r>
      <w:r w:rsidR="1CE055BB">
        <w:t xml:space="preserve"> and </w:t>
      </w:r>
      <w:r w:rsidR="236B6842">
        <w:t xml:space="preserve">on </w:t>
      </w:r>
      <w:r w:rsidR="57A945E7">
        <w:t xml:space="preserve">how </w:t>
      </w:r>
      <w:r w:rsidR="4BF47DE6">
        <w:t>to integrate HR analysis</w:t>
      </w:r>
      <w:r w:rsidR="1CE055BB">
        <w:t xml:space="preserve"> into the PAF</w:t>
      </w:r>
    </w:p>
    <w:p w14:paraId="119A2FCC" w14:textId="3EFF19C9" w:rsidR="0029266C" w:rsidRPr="004C134A" w:rsidRDefault="1C63E887" w:rsidP="70607FEF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70607FEF">
        <w:rPr>
          <w:b/>
          <w:bCs/>
        </w:rPr>
        <w:t>Strategy planning</w:t>
      </w:r>
      <w:r w:rsidR="2EA5DA3B" w:rsidRPr="70607FEF">
        <w:rPr>
          <w:b/>
          <w:bCs/>
        </w:rPr>
        <w:t xml:space="preserve">: </w:t>
      </w:r>
      <w:r w:rsidR="05EEDD7F" w:rsidRPr="70607FEF">
        <w:t xml:space="preserve">I </w:t>
      </w:r>
      <w:r w:rsidR="02650319" w:rsidRPr="70607FEF">
        <w:t>am</w:t>
      </w:r>
      <w:r w:rsidR="05EEDD7F" w:rsidRPr="70607FEF">
        <w:t xml:space="preserve"> planning to design a strategy on human rights engagemen</w:t>
      </w:r>
      <w:r w:rsidR="00E573FE">
        <w:t>t, based on the</w:t>
      </w:r>
      <w:r w:rsidR="05EEDD7F" w:rsidRPr="70607FEF">
        <w:t xml:space="preserve"> implementation of</w:t>
      </w:r>
      <w:r w:rsidR="01320B56" w:rsidRPr="70607FEF">
        <w:t xml:space="preserve"> the</w:t>
      </w:r>
      <w:r w:rsidR="05EEDD7F" w:rsidRPr="70607FEF">
        <w:t xml:space="preserve"> C2A at country level and</w:t>
      </w:r>
      <w:r w:rsidR="00DD6505">
        <w:t xml:space="preserve"> complementing existing planning frameworks. </w:t>
      </w:r>
      <w:r w:rsidR="05EEDD7F" w:rsidRPr="70607FEF">
        <w:t xml:space="preserve"> </w:t>
      </w:r>
      <w:r w:rsidR="2D36EB5B" w:rsidRPr="70607FEF">
        <w:t xml:space="preserve">I </w:t>
      </w:r>
      <w:r w:rsidR="05EEDD7F" w:rsidRPr="70607FEF">
        <w:t>would like to receive more guidance, materials, support ahead or during the process</w:t>
      </w:r>
    </w:p>
    <w:p w14:paraId="4238D26A" w14:textId="5AB7400D" w:rsidR="0029266C" w:rsidRPr="004C134A" w:rsidRDefault="25BCE25A" w:rsidP="744AD77F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744AD77F">
        <w:rPr>
          <w:b/>
          <w:bCs/>
        </w:rPr>
        <w:t xml:space="preserve">Advocacy on human rights related </w:t>
      </w:r>
      <w:r w:rsidR="0DF4EE16" w:rsidRPr="744AD77F">
        <w:rPr>
          <w:b/>
          <w:bCs/>
        </w:rPr>
        <w:t>i</w:t>
      </w:r>
      <w:r w:rsidR="263CB375" w:rsidRPr="744AD77F">
        <w:rPr>
          <w:b/>
          <w:bCs/>
        </w:rPr>
        <w:t>s</w:t>
      </w:r>
      <w:r w:rsidR="631FFB86" w:rsidRPr="744AD77F">
        <w:rPr>
          <w:b/>
          <w:bCs/>
        </w:rPr>
        <w:t>s</w:t>
      </w:r>
      <w:r w:rsidR="263CB375" w:rsidRPr="744AD77F">
        <w:rPr>
          <w:b/>
          <w:bCs/>
        </w:rPr>
        <w:t>ues:</w:t>
      </w:r>
      <w:r w:rsidRPr="744AD77F">
        <w:t xml:space="preserve"> </w:t>
      </w:r>
      <w:r w:rsidR="05EEDD7F" w:rsidRPr="744AD77F">
        <w:t xml:space="preserve">I would like to receive guidance/support on how to proceed </w:t>
      </w:r>
      <w:r w:rsidR="7621A0AE" w:rsidRPr="744AD77F">
        <w:t>around</w:t>
      </w:r>
      <w:r w:rsidR="05EEDD7F" w:rsidRPr="744AD77F">
        <w:t xml:space="preserve"> advocacy on some (sensitive) human rights topics at country level</w:t>
      </w:r>
      <w:r w:rsidR="11584F99" w:rsidRPr="744AD77F">
        <w:t xml:space="preserve"> and/or </w:t>
      </w:r>
      <w:r w:rsidR="05EEDD7F" w:rsidRPr="744AD77F">
        <w:t xml:space="preserve">support in drafting </w:t>
      </w:r>
      <w:r w:rsidR="72C2F443" w:rsidRPr="744AD77F">
        <w:t xml:space="preserve">a </w:t>
      </w:r>
      <w:r w:rsidR="05EEDD7F" w:rsidRPr="744AD77F">
        <w:t>country level advocacy strategy on human rights</w:t>
      </w:r>
      <w:r w:rsidR="00B77DA3">
        <w:t xml:space="preserve"> </w:t>
      </w:r>
    </w:p>
    <w:p w14:paraId="72E83D52" w14:textId="30D06526" w:rsidR="0029266C" w:rsidRPr="004C134A" w:rsidRDefault="5BA9B70F" w:rsidP="19C0F0D8">
      <w:pPr>
        <w:pStyle w:val="ListParagraph"/>
        <w:numPr>
          <w:ilvl w:val="0"/>
          <w:numId w:val="4"/>
        </w:numPr>
        <w:ind w:right="-613"/>
        <w:rPr>
          <w:rFonts w:eastAsiaTheme="minorEastAsia"/>
          <w:b/>
          <w:bCs/>
        </w:rPr>
      </w:pPr>
      <w:r w:rsidRPr="19C0F0D8">
        <w:rPr>
          <w:b/>
          <w:bCs/>
        </w:rPr>
        <w:t>Monitoring</w:t>
      </w:r>
      <w:r w:rsidR="74360BD1" w:rsidRPr="19C0F0D8">
        <w:rPr>
          <w:b/>
          <w:bCs/>
        </w:rPr>
        <w:t>:</w:t>
      </w:r>
      <w:r w:rsidR="00835366">
        <w:t xml:space="preserve"> </w:t>
      </w:r>
      <w:r w:rsidR="3EBCDF5C">
        <w:t>I would like to receive more guidance on how to monitor progress on C2A implementation and human rights engagement</w:t>
      </w:r>
      <w:r w:rsidR="0BB012DA">
        <w:t xml:space="preserve"> more generally</w:t>
      </w:r>
      <w:r w:rsidR="3EBCDF5C">
        <w:t xml:space="preserve"> at country level</w:t>
      </w:r>
    </w:p>
    <w:p w14:paraId="33D34B61" w14:textId="176FEB5F" w:rsidR="00F0149D" w:rsidRPr="004C134A" w:rsidRDefault="4018494B" w:rsidP="00F0149D">
      <w:pPr>
        <w:pStyle w:val="ListParagraph"/>
        <w:numPr>
          <w:ilvl w:val="0"/>
          <w:numId w:val="4"/>
        </w:numPr>
        <w:ind w:right="-613"/>
        <w:rPr>
          <w:rFonts w:eastAsiaTheme="minorEastAsia"/>
        </w:rPr>
      </w:pPr>
      <w:r w:rsidRPr="19C0F0D8">
        <w:rPr>
          <w:b/>
          <w:bCs/>
        </w:rPr>
        <w:t>Field support mission</w:t>
      </w:r>
      <w:r w:rsidR="29A85F77" w:rsidRPr="19C0F0D8">
        <w:rPr>
          <w:b/>
          <w:bCs/>
        </w:rPr>
        <w:t>:</w:t>
      </w:r>
      <w:r>
        <w:t xml:space="preserve"> </w:t>
      </w:r>
      <w:r w:rsidR="61C03A04">
        <w:t>A</w:t>
      </w:r>
      <w:r w:rsidR="3EBCDF5C">
        <w:t xml:space="preserve"> field support mission would significantly help advance the </w:t>
      </w:r>
      <w:r w:rsidR="049F92BF">
        <w:t xml:space="preserve">C2A </w:t>
      </w:r>
      <w:r w:rsidR="3EBCDF5C">
        <w:t xml:space="preserve">implementation </w:t>
      </w:r>
      <w:r w:rsidR="2E2F088E">
        <w:t>process</w:t>
      </w:r>
      <w:r w:rsidR="3EBCDF5C">
        <w:t xml:space="preserve"> at country level</w:t>
      </w:r>
      <w:r w:rsidR="01FFE8CC">
        <w:t xml:space="preserve">. Please </w:t>
      </w:r>
      <w:r w:rsidR="3EBCDF5C">
        <w:t xml:space="preserve">prepare key points indicating why such </w:t>
      </w:r>
      <w:r w:rsidR="2B26C71F">
        <w:t xml:space="preserve">a </w:t>
      </w:r>
      <w:r w:rsidR="3EBCDF5C">
        <w:t xml:space="preserve">mission would be important in your country context, whether it would be focused on your entity or </w:t>
      </w:r>
      <w:r w:rsidR="5947DC20">
        <w:t xml:space="preserve">at </w:t>
      </w:r>
      <w:r w:rsidR="3EBCDF5C">
        <w:t xml:space="preserve">an interagency level and reach out to </w:t>
      </w:r>
      <w:r w:rsidR="45916C21">
        <w:t>your respective organisation’s</w:t>
      </w:r>
      <w:r w:rsidR="3EBCDF5C">
        <w:t xml:space="preserve"> WG F</w:t>
      </w:r>
      <w:r w:rsidR="083A2CF9">
        <w:t>ocal Point</w:t>
      </w:r>
      <w:r w:rsidR="3EBCDF5C">
        <w:t>.</w:t>
      </w:r>
    </w:p>
    <w:p w14:paraId="1935C924" w14:textId="169D3E8A" w:rsidR="0029266C" w:rsidRPr="004C134A" w:rsidRDefault="0B062923" w:rsidP="3B9EB13C">
      <w:pPr>
        <w:spacing w:after="0"/>
        <w:ind w:left="-567" w:right="-613"/>
        <w:rPr>
          <w:b/>
          <w:bCs/>
        </w:rPr>
      </w:pPr>
      <w:r w:rsidRPr="19C0F0D8">
        <w:rPr>
          <w:b/>
          <w:bCs/>
        </w:rPr>
        <w:t>Further k</w:t>
      </w:r>
      <w:r w:rsidR="0443B923" w:rsidRPr="19C0F0D8">
        <w:rPr>
          <w:b/>
          <w:bCs/>
        </w:rPr>
        <w:t>ey tools</w:t>
      </w:r>
      <w:r w:rsidR="684D378B" w:rsidRPr="19C0F0D8">
        <w:rPr>
          <w:b/>
          <w:bCs/>
        </w:rPr>
        <w:t xml:space="preserve"> and resources</w:t>
      </w:r>
    </w:p>
    <w:p w14:paraId="769039A3" w14:textId="381C5513" w:rsidR="3CBD2C25" w:rsidRPr="00C42B08" w:rsidRDefault="00E728BC" w:rsidP="70607FEF">
      <w:pPr>
        <w:pStyle w:val="ListParagraph"/>
        <w:numPr>
          <w:ilvl w:val="0"/>
          <w:numId w:val="5"/>
        </w:numPr>
        <w:ind w:right="-613"/>
        <w:rPr>
          <w:rFonts w:eastAsiaTheme="minorEastAsia"/>
        </w:rPr>
      </w:pPr>
      <w:hyperlink r:id="rId17">
        <w:r w:rsidR="3CBD2C25" w:rsidRPr="70607FEF">
          <w:rPr>
            <w:rStyle w:val="Hyperlink"/>
          </w:rPr>
          <w:t>P</w:t>
        </w:r>
        <w:r w:rsidR="654F1270" w:rsidRPr="70607FEF">
          <w:rPr>
            <w:rStyle w:val="Hyperlink"/>
          </w:rPr>
          <w:t xml:space="preserve">rotection </w:t>
        </w:r>
        <w:r w:rsidR="3CBD2C25" w:rsidRPr="70607FEF">
          <w:rPr>
            <w:rStyle w:val="Hyperlink"/>
          </w:rPr>
          <w:t>A</w:t>
        </w:r>
        <w:r w:rsidR="224B9B86" w:rsidRPr="70607FEF">
          <w:rPr>
            <w:rStyle w:val="Hyperlink"/>
          </w:rPr>
          <w:t xml:space="preserve">nalytical </w:t>
        </w:r>
        <w:r w:rsidR="3CBD2C25" w:rsidRPr="70607FEF">
          <w:rPr>
            <w:rStyle w:val="Hyperlink"/>
          </w:rPr>
          <w:t>F</w:t>
        </w:r>
        <w:r w:rsidR="5988BCD8" w:rsidRPr="70607FEF">
          <w:rPr>
            <w:rStyle w:val="Hyperlink"/>
          </w:rPr>
          <w:t>ramework</w:t>
        </w:r>
      </w:hyperlink>
      <w:r w:rsidR="5988BCD8">
        <w:t xml:space="preserve"> developed through the Global Protection Cluster</w:t>
      </w:r>
    </w:p>
    <w:p w14:paraId="31F896D1" w14:textId="4321145B" w:rsidR="00B77DA3" w:rsidRPr="004C134A" w:rsidRDefault="00E728BC" w:rsidP="70607FEF">
      <w:pPr>
        <w:pStyle w:val="ListParagraph"/>
        <w:numPr>
          <w:ilvl w:val="0"/>
          <w:numId w:val="5"/>
        </w:numPr>
        <w:ind w:right="-613"/>
        <w:rPr>
          <w:rFonts w:eastAsiaTheme="minorEastAsia"/>
        </w:rPr>
      </w:pPr>
      <w:hyperlink r:id="rId18" w:history="1">
        <w:r w:rsidR="006A358D" w:rsidRPr="004C61DC">
          <w:rPr>
            <w:rStyle w:val="Hyperlink"/>
          </w:rPr>
          <w:t xml:space="preserve">Global Protection Cluster HPC </w:t>
        </w:r>
        <w:r w:rsidR="006A358D" w:rsidRPr="006A358D">
          <w:rPr>
            <w:rStyle w:val="Hyperlink"/>
            <w:rFonts w:eastAsiaTheme="minorEastAsia"/>
          </w:rPr>
          <w:t>Guidance</w:t>
        </w:r>
      </w:hyperlink>
      <w:r w:rsidR="006A358D">
        <w:rPr>
          <w:rFonts w:eastAsiaTheme="minorEastAsia"/>
        </w:rPr>
        <w:t xml:space="preserve"> </w:t>
      </w:r>
    </w:p>
    <w:p w14:paraId="0F1C19DA" w14:textId="31D0F172" w:rsidR="004C134A" w:rsidRDefault="00E728BC" w:rsidP="70607FEF">
      <w:pPr>
        <w:pStyle w:val="ListParagraph"/>
        <w:numPr>
          <w:ilvl w:val="0"/>
          <w:numId w:val="5"/>
        </w:numPr>
        <w:ind w:right="-613"/>
        <w:rPr>
          <w:rFonts w:eastAsiaTheme="minorEastAsia"/>
        </w:rPr>
      </w:pPr>
      <w:hyperlink r:id="rId19" w:history="1">
        <w:r w:rsidR="004C134A" w:rsidRPr="00E37F51">
          <w:rPr>
            <w:rStyle w:val="Hyperlink"/>
          </w:rPr>
          <w:t>Common Agenda</w:t>
        </w:r>
      </w:hyperlink>
      <w:r w:rsidR="00E37F51">
        <w:t xml:space="preserve"> report</w:t>
      </w:r>
      <w:r w:rsidR="00BE3628">
        <w:t xml:space="preserve"> of the Secretary-General</w:t>
      </w:r>
    </w:p>
    <w:p w14:paraId="42233BA3" w14:textId="5BC9AD58" w:rsidR="58263C3E" w:rsidRDefault="00E728BC" w:rsidP="3B9EB13C">
      <w:pPr>
        <w:pStyle w:val="ListParagraph"/>
        <w:numPr>
          <w:ilvl w:val="0"/>
          <w:numId w:val="5"/>
        </w:numPr>
        <w:ind w:right="-613"/>
        <w:rPr>
          <w:rFonts w:eastAsiaTheme="minorEastAsia"/>
          <w:color w:val="0000FF"/>
        </w:rPr>
      </w:pPr>
      <w:hyperlink r:id="rId20">
        <w:r w:rsidR="58263C3E" w:rsidRPr="3B9EB13C">
          <w:rPr>
            <w:rStyle w:val="Hyperlink"/>
          </w:rPr>
          <w:t xml:space="preserve">ICRC Professional Standards for Protection </w:t>
        </w:r>
        <w:r w:rsidR="4C490DAE" w:rsidRPr="3B9EB13C">
          <w:rPr>
            <w:rStyle w:val="Hyperlink"/>
          </w:rPr>
          <w:t>W</w:t>
        </w:r>
        <w:r w:rsidR="58263C3E" w:rsidRPr="3B9EB13C">
          <w:rPr>
            <w:rStyle w:val="Hyperlink"/>
          </w:rPr>
          <w:t xml:space="preserve">ork, </w:t>
        </w:r>
        <w:r w:rsidR="0B35A5C5" w:rsidRPr="3B9EB13C">
          <w:rPr>
            <w:rStyle w:val="Hyperlink"/>
          </w:rPr>
          <w:t>2018</w:t>
        </w:r>
      </w:hyperlink>
      <w:r w:rsidR="0B35A5C5">
        <w:t>, C</w:t>
      </w:r>
      <w:r w:rsidR="58263C3E">
        <w:t>hapter 2</w:t>
      </w:r>
      <w:r w:rsidR="6118B4FD">
        <w:t xml:space="preserve"> </w:t>
      </w:r>
    </w:p>
    <w:p w14:paraId="28224C89" w14:textId="733C573C" w:rsidR="00CC0B58" w:rsidRPr="00681AE7" w:rsidRDefault="0011474E" w:rsidP="00BE3628">
      <w:pPr>
        <w:pStyle w:val="ListParagraph"/>
        <w:numPr>
          <w:ilvl w:val="0"/>
          <w:numId w:val="5"/>
        </w:numPr>
        <w:ind w:right="-613"/>
      </w:pPr>
      <w:r w:rsidRPr="0011474E">
        <w:t>GP</w:t>
      </w:r>
      <w:r>
        <w:t xml:space="preserve">C HRE TT </w:t>
      </w:r>
      <w:hyperlink r:id="rId21" w:history="1">
        <w:r w:rsidRPr="00CC0B58">
          <w:rPr>
            <w:rStyle w:val="Hyperlink"/>
          </w:rPr>
          <w:t>video</w:t>
        </w:r>
      </w:hyperlink>
      <w:r>
        <w:t xml:space="preserve"> on</w:t>
      </w:r>
      <w:r w:rsidR="00CC0B58" w:rsidRPr="3B9EB13C">
        <w:t xml:space="preserve"> stakeholders</w:t>
      </w:r>
      <w:r w:rsidR="00CC0B58">
        <w:t xml:space="preserve"> analysis</w:t>
      </w:r>
      <w:r w:rsidR="00BE3628">
        <w:t xml:space="preserve"> and </w:t>
      </w:r>
      <w:hyperlink r:id="rId22" w:history="1">
        <w:r w:rsidR="00CC0B58" w:rsidRPr="002113F9">
          <w:rPr>
            <w:rStyle w:val="Hyperlink"/>
          </w:rPr>
          <w:t>Factsheet</w:t>
        </w:r>
      </w:hyperlink>
      <w:r w:rsidR="00CC0B58" w:rsidRPr="3B9EB13C">
        <w:t xml:space="preserve"> on human rights aspects of protection analysis</w:t>
      </w:r>
    </w:p>
    <w:p w14:paraId="3B850A93" w14:textId="6BC1FF51" w:rsidR="00CC0B58" w:rsidRDefault="00E728BC" w:rsidP="70607FEF">
      <w:pPr>
        <w:pStyle w:val="ListParagraph"/>
        <w:numPr>
          <w:ilvl w:val="0"/>
          <w:numId w:val="5"/>
        </w:numPr>
        <w:ind w:right="-613"/>
      </w:pPr>
      <w:hyperlink r:id="rId23">
        <w:r w:rsidR="77233846" w:rsidRPr="19C0F0D8">
          <w:rPr>
            <w:rStyle w:val="Hyperlink"/>
          </w:rPr>
          <w:t>GPC HRE TT website</w:t>
        </w:r>
      </w:hyperlink>
      <w:r w:rsidR="77233846">
        <w:t xml:space="preserve"> with relevant resources and a training module on human rights analysis</w:t>
      </w:r>
    </w:p>
    <w:p w14:paraId="147B64C6" w14:textId="545CE797" w:rsidR="00ED3E35" w:rsidRDefault="69C846FD" w:rsidP="009A65A5">
      <w:pPr>
        <w:pStyle w:val="ListParagraph"/>
        <w:numPr>
          <w:ilvl w:val="0"/>
          <w:numId w:val="5"/>
        </w:numPr>
        <w:ind w:right="-613"/>
      </w:pPr>
      <w:r>
        <w:t xml:space="preserve">Call to Action for Human Rights </w:t>
      </w:r>
      <w:hyperlink r:id="rId24" w:history="1">
        <w:r w:rsidRPr="19C0F0D8">
          <w:rPr>
            <w:rStyle w:val="Hyperlink"/>
          </w:rPr>
          <w:t>SharePoint</w:t>
        </w:r>
      </w:hyperlink>
      <w:r w:rsidR="00C46E48">
        <w:rPr>
          <w:color w:val="2B579A"/>
          <w:shd w:val="clear" w:color="auto" w:fill="E6E6E6"/>
        </w:rPr>
        <w:t xml:space="preserve"> site</w:t>
      </w:r>
      <w:r w:rsidR="009A65A5">
        <w:rPr>
          <w:color w:val="2B579A"/>
          <w:shd w:val="clear" w:color="auto" w:fill="E6E6E6"/>
        </w:rPr>
        <w:t xml:space="preserve">; </w:t>
      </w:r>
      <w:hyperlink r:id="rId25" w:history="1">
        <w:r w:rsidR="009A65A5" w:rsidRPr="00E7412F">
          <w:rPr>
            <w:rStyle w:val="Hyperlink"/>
            <w:shd w:val="clear" w:color="auto" w:fill="E6E6E6"/>
          </w:rPr>
          <w:t>one-stop shop</w:t>
        </w:r>
      </w:hyperlink>
      <w:r w:rsidR="009A65A5">
        <w:rPr>
          <w:color w:val="2B579A"/>
          <w:shd w:val="clear" w:color="auto" w:fill="E6E6E6"/>
        </w:rPr>
        <w:t xml:space="preserve">, </w:t>
      </w:r>
      <w:hyperlink r:id="rId26" w:history="1">
        <w:r w:rsidR="009A65A5" w:rsidRPr="008A0E23">
          <w:rPr>
            <w:rStyle w:val="Hyperlink"/>
            <w:shd w:val="clear" w:color="auto" w:fill="E6E6E6"/>
          </w:rPr>
          <w:t>list of focal points</w:t>
        </w:r>
      </w:hyperlink>
    </w:p>
    <w:sectPr w:rsidR="00ED3E35" w:rsidSect="00C93E52">
      <w:pgSz w:w="11906" w:h="16838"/>
      <w:pgMar w:top="1270" w:right="1077" w:bottom="127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CAC4A" w14:textId="77777777" w:rsidR="00026A19" w:rsidRDefault="00026A19" w:rsidP="006A358D">
      <w:pPr>
        <w:spacing w:after="0" w:line="240" w:lineRule="auto"/>
      </w:pPr>
      <w:r>
        <w:separator/>
      </w:r>
    </w:p>
  </w:endnote>
  <w:endnote w:type="continuationSeparator" w:id="0">
    <w:p w14:paraId="11813C13" w14:textId="77777777" w:rsidR="00026A19" w:rsidRDefault="00026A19" w:rsidP="006A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1108BB" w14:textId="77777777" w:rsidR="00026A19" w:rsidRDefault="00026A19" w:rsidP="006A358D">
      <w:pPr>
        <w:spacing w:after="0" w:line="240" w:lineRule="auto"/>
      </w:pPr>
      <w:r>
        <w:separator/>
      </w:r>
    </w:p>
  </w:footnote>
  <w:footnote w:type="continuationSeparator" w:id="0">
    <w:p w14:paraId="1B9F1F91" w14:textId="77777777" w:rsidR="00026A19" w:rsidRDefault="00026A19" w:rsidP="006A358D">
      <w:pPr>
        <w:spacing w:after="0" w:line="240" w:lineRule="auto"/>
      </w:pPr>
      <w:r>
        <w:continuationSeparator/>
      </w:r>
    </w:p>
  </w:footnote>
  <w:footnote w:id="1">
    <w:p w14:paraId="63898A20" w14:textId="07881330" w:rsidR="004C61DC" w:rsidRPr="006A358D" w:rsidRDefault="004C61DC">
      <w:pPr>
        <w:pStyle w:val="FootnoteText"/>
      </w:pPr>
      <w:r>
        <w:rPr>
          <w:rStyle w:val="FootnoteReference"/>
        </w:rPr>
        <w:footnoteRef/>
      </w:r>
      <w:r>
        <w:rPr>
          <w:lang w:val="en-US"/>
        </w:rPr>
        <w:t xml:space="preserve"> </w:t>
      </w:r>
      <w:r w:rsidRPr="00DC0FE4">
        <w:rPr>
          <w:sz w:val="18"/>
          <w:szCs w:val="18"/>
          <w:lang w:val="en-US"/>
        </w:rPr>
        <w:t>This will be done as part of a joint</w:t>
      </w:r>
      <w:r w:rsidRPr="00DC0FE4">
        <w:rPr>
          <w:rFonts w:ascii="Calibri" w:eastAsia="Calibri" w:hAnsi="Calibri" w:cs="Calibri"/>
          <w:sz w:val="18"/>
          <w:szCs w:val="18"/>
          <w:lang w:val="en-US"/>
        </w:rPr>
        <w:t xml:space="preserve"> workstream of the Global Protection Cluster’s Human Rights Engagement Task Team and its Information and Analysis Working Group</w:t>
      </w:r>
      <w:r w:rsidR="00F0149D">
        <w:rPr>
          <w:rFonts w:ascii="Calibri" w:eastAsia="Calibri" w:hAnsi="Calibri" w:cs="Calibri"/>
          <w:sz w:val="18"/>
          <w:szCs w:val="18"/>
          <w:lang w:val="en-US"/>
        </w:rPr>
        <w:t>.</w:t>
      </w:r>
      <w:r w:rsidR="00F0149D" w:rsidDel="00F0149D">
        <w:rPr>
          <w:rFonts w:ascii="Calibri" w:eastAsia="Calibri" w:hAnsi="Calibri" w:cs="Calibr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91138"/>
    <w:multiLevelType w:val="hybridMultilevel"/>
    <w:tmpl w:val="8BA0159C"/>
    <w:lvl w:ilvl="0" w:tplc="2000000D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6F76AA1"/>
    <w:multiLevelType w:val="hybridMultilevel"/>
    <w:tmpl w:val="CD466A90"/>
    <w:lvl w:ilvl="0" w:tplc="D37A8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620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B485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F0EF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1A75C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4CE2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ABEE6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BAF05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0A6D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891E9A"/>
    <w:multiLevelType w:val="hybridMultilevel"/>
    <w:tmpl w:val="75D29874"/>
    <w:lvl w:ilvl="0" w:tplc="1284966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71CCC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F0164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346F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A4D2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B5A5E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950B3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C44C3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E2C1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4205E9"/>
    <w:multiLevelType w:val="hybridMultilevel"/>
    <w:tmpl w:val="B284058C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035B"/>
    <w:multiLevelType w:val="multilevel"/>
    <w:tmpl w:val="B100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A325F3"/>
    <w:multiLevelType w:val="hybridMultilevel"/>
    <w:tmpl w:val="49FEFDE0"/>
    <w:lvl w:ilvl="0" w:tplc="2DF6A2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4082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A882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F829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4AF8B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B8C1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F6DF9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E87A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03EBB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3C2952"/>
    <w:multiLevelType w:val="hybridMultilevel"/>
    <w:tmpl w:val="02C4628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83E23"/>
    <w:multiLevelType w:val="hybridMultilevel"/>
    <w:tmpl w:val="EE8E5316"/>
    <w:lvl w:ilvl="0" w:tplc="C218C9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2A2BF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CE04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FCE6F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5CA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BD295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632EC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50B43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3230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C521B0"/>
    <w:multiLevelType w:val="hybridMultilevel"/>
    <w:tmpl w:val="94ACFA7E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A04B0"/>
    <w:multiLevelType w:val="hybridMultilevel"/>
    <w:tmpl w:val="2488EC48"/>
    <w:lvl w:ilvl="0" w:tplc="3E0E28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B42D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6FC68C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7E01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1C64D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82AA7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036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EF3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EA91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BF780F"/>
    <w:multiLevelType w:val="multilevel"/>
    <w:tmpl w:val="4424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7702D7"/>
    <w:multiLevelType w:val="hybridMultilevel"/>
    <w:tmpl w:val="4F6AE9D4"/>
    <w:lvl w:ilvl="0" w:tplc="66F8BC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8EA3D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E622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BE48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FE39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66C58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D029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9C843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AE78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yNTYxtjCxsDCwMDFX0lEKTi0uzszPAykwrAUAEugm+SwAAAA="/>
  </w:docVars>
  <w:rsids>
    <w:rsidRoot w:val="003A35BE"/>
    <w:rsid w:val="00026A19"/>
    <w:rsid w:val="0003A50C"/>
    <w:rsid w:val="000567DC"/>
    <w:rsid w:val="0011474E"/>
    <w:rsid w:val="001E6094"/>
    <w:rsid w:val="002113F9"/>
    <w:rsid w:val="00213D7B"/>
    <w:rsid w:val="00236785"/>
    <w:rsid w:val="00285E00"/>
    <w:rsid w:val="0029266C"/>
    <w:rsid w:val="002B63C3"/>
    <w:rsid w:val="002C283A"/>
    <w:rsid w:val="003A35BE"/>
    <w:rsid w:val="003B6D5B"/>
    <w:rsid w:val="003E0B84"/>
    <w:rsid w:val="003F666A"/>
    <w:rsid w:val="004C134A"/>
    <w:rsid w:val="004C61DC"/>
    <w:rsid w:val="005804DA"/>
    <w:rsid w:val="0059305E"/>
    <w:rsid w:val="005D53F4"/>
    <w:rsid w:val="0060151A"/>
    <w:rsid w:val="00657774"/>
    <w:rsid w:val="00681AE7"/>
    <w:rsid w:val="00681B6B"/>
    <w:rsid w:val="006A358D"/>
    <w:rsid w:val="006B8C65"/>
    <w:rsid w:val="006C34B2"/>
    <w:rsid w:val="0077322C"/>
    <w:rsid w:val="007F64E4"/>
    <w:rsid w:val="00835366"/>
    <w:rsid w:val="0087088D"/>
    <w:rsid w:val="00891324"/>
    <w:rsid w:val="008A0E23"/>
    <w:rsid w:val="008A1D57"/>
    <w:rsid w:val="00922694"/>
    <w:rsid w:val="009A3AD7"/>
    <w:rsid w:val="009A65A5"/>
    <w:rsid w:val="009C3F7C"/>
    <w:rsid w:val="009F09C8"/>
    <w:rsid w:val="00A10E4D"/>
    <w:rsid w:val="00A67A25"/>
    <w:rsid w:val="00B22333"/>
    <w:rsid w:val="00B56167"/>
    <w:rsid w:val="00B57A6D"/>
    <w:rsid w:val="00B653A2"/>
    <w:rsid w:val="00B77DA3"/>
    <w:rsid w:val="00B8236D"/>
    <w:rsid w:val="00BE3628"/>
    <w:rsid w:val="00BE4B34"/>
    <w:rsid w:val="00C03573"/>
    <w:rsid w:val="00C33BF4"/>
    <w:rsid w:val="00C42B08"/>
    <w:rsid w:val="00C46E48"/>
    <w:rsid w:val="00C55DBF"/>
    <w:rsid w:val="00C93E52"/>
    <w:rsid w:val="00C9A01E"/>
    <w:rsid w:val="00CA2A75"/>
    <w:rsid w:val="00CC0B58"/>
    <w:rsid w:val="00CF3310"/>
    <w:rsid w:val="00D12767"/>
    <w:rsid w:val="00D20DBB"/>
    <w:rsid w:val="00D21A84"/>
    <w:rsid w:val="00D432D3"/>
    <w:rsid w:val="00D57C94"/>
    <w:rsid w:val="00DB7079"/>
    <w:rsid w:val="00DC0FE4"/>
    <w:rsid w:val="00DD6505"/>
    <w:rsid w:val="00E20A8F"/>
    <w:rsid w:val="00E37F51"/>
    <w:rsid w:val="00E573FE"/>
    <w:rsid w:val="00E5C06A"/>
    <w:rsid w:val="00E728BC"/>
    <w:rsid w:val="00E7412F"/>
    <w:rsid w:val="00E92B40"/>
    <w:rsid w:val="00ED3E35"/>
    <w:rsid w:val="00EE400B"/>
    <w:rsid w:val="00EF7D81"/>
    <w:rsid w:val="00F0149D"/>
    <w:rsid w:val="00F14D0E"/>
    <w:rsid w:val="0111DE0C"/>
    <w:rsid w:val="01222B2F"/>
    <w:rsid w:val="01320B56"/>
    <w:rsid w:val="01368FD3"/>
    <w:rsid w:val="01B41F73"/>
    <w:rsid w:val="01FFE8CC"/>
    <w:rsid w:val="024F48AD"/>
    <w:rsid w:val="02650319"/>
    <w:rsid w:val="033D5421"/>
    <w:rsid w:val="03781D4B"/>
    <w:rsid w:val="03A32D27"/>
    <w:rsid w:val="03ECC0D1"/>
    <w:rsid w:val="043F71D8"/>
    <w:rsid w:val="0443B923"/>
    <w:rsid w:val="046C6C5D"/>
    <w:rsid w:val="049F92BF"/>
    <w:rsid w:val="04E167B7"/>
    <w:rsid w:val="05073C85"/>
    <w:rsid w:val="051BDB32"/>
    <w:rsid w:val="05A50314"/>
    <w:rsid w:val="05EEDD7F"/>
    <w:rsid w:val="05EFA2B8"/>
    <w:rsid w:val="06011D37"/>
    <w:rsid w:val="06060303"/>
    <w:rsid w:val="060820D9"/>
    <w:rsid w:val="065A7846"/>
    <w:rsid w:val="066C92EB"/>
    <w:rsid w:val="06726203"/>
    <w:rsid w:val="06824A29"/>
    <w:rsid w:val="06CB5F66"/>
    <w:rsid w:val="06D1AFA2"/>
    <w:rsid w:val="06D576E8"/>
    <w:rsid w:val="06DACDE9"/>
    <w:rsid w:val="06EE95FD"/>
    <w:rsid w:val="0709AE79"/>
    <w:rsid w:val="0729EA1A"/>
    <w:rsid w:val="0788CDEF"/>
    <w:rsid w:val="078A58A3"/>
    <w:rsid w:val="07AA5611"/>
    <w:rsid w:val="07CE90DC"/>
    <w:rsid w:val="07E3BDB2"/>
    <w:rsid w:val="083A2CF9"/>
    <w:rsid w:val="089B2FE2"/>
    <w:rsid w:val="0914D0DE"/>
    <w:rsid w:val="092E8BB1"/>
    <w:rsid w:val="099F03AF"/>
    <w:rsid w:val="09E007F5"/>
    <w:rsid w:val="0A13C4EF"/>
    <w:rsid w:val="0A59C295"/>
    <w:rsid w:val="0A9C338D"/>
    <w:rsid w:val="0AC954DC"/>
    <w:rsid w:val="0B062923"/>
    <w:rsid w:val="0B0F1F87"/>
    <w:rsid w:val="0B263474"/>
    <w:rsid w:val="0B35A5C5"/>
    <w:rsid w:val="0BAE3F0C"/>
    <w:rsid w:val="0BB012DA"/>
    <w:rsid w:val="0C222C4E"/>
    <w:rsid w:val="0C45AB2A"/>
    <w:rsid w:val="0C9527F4"/>
    <w:rsid w:val="0C9B6D73"/>
    <w:rsid w:val="0CC356F1"/>
    <w:rsid w:val="0CD51596"/>
    <w:rsid w:val="0CF7233B"/>
    <w:rsid w:val="0D26ED17"/>
    <w:rsid w:val="0DF4EE16"/>
    <w:rsid w:val="0E45FEF5"/>
    <w:rsid w:val="0E52F31B"/>
    <w:rsid w:val="0E614087"/>
    <w:rsid w:val="0EA219FC"/>
    <w:rsid w:val="0EE5DFCE"/>
    <w:rsid w:val="0F1A802B"/>
    <w:rsid w:val="0F431056"/>
    <w:rsid w:val="0F8CF133"/>
    <w:rsid w:val="0F956A88"/>
    <w:rsid w:val="0F995BFF"/>
    <w:rsid w:val="0F9C1E02"/>
    <w:rsid w:val="0FA2503C"/>
    <w:rsid w:val="0FAD58D8"/>
    <w:rsid w:val="0FAE92E5"/>
    <w:rsid w:val="0FB9E996"/>
    <w:rsid w:val="10085C13"/>
    <w:rsid w:val="10511F2D"/>
    <w:rsid w:val="109AAA91"/>
    <w:rsid w:val="10A6791A"/>
    <w:rsid w:val="10DAEA18"/>
    <w:rsid w:val="10E25691"/>
    <w:rsid w:val="1123D009"/>
    <w:rsid w:val="1124B10C"/>
    <w:rsid w:val="1128C194"/>
    <w:rsid w:val="11584F99"/>
    <w:rsid w:val="11645F9F"/>
    <w:rsid w:val="118A93DD"/>
    <w:rsid w:val="11992B07"/>
    <w:rsid w:val="11A77841"/>
    <w:rsid w:val="121B567C"/>
    <w:rsid w:val="125E2DE7"/>
    <w:rsid w:val="12AD1508"/>
    <w:rsid w:val="12D9F0FE"/>
    <w:rsid w:val="131053EA"/>
    <w:rsid w:val="1326643E"/>
    <w:rsid w:val="13B97183"/>
    <w:rsid w:val="13C5CDFF"/>
    <w:rsid w:val="13D17C4A"/>
    <w:rsid w:val="13D2F910"/>
    <w:rsid w:val="13E28F50"/>
    <w:rsid w:val="13FEA99B"/>
    <w:rsid w:val="140554F2"/>
    <w:rsid w:val="14672E0F"/>
    <w:rsid w:val="14C48E99"/>
    <w:rsid w:val="14E509B5"/>
    <w:rsid w:val="14F13521"/>
    <w:rsid w:val="1506EE70"/>
    <w:rsid w:val="15317232"/>
    <w:rsid w:val="156209B6"/>
    <w:rsid w:val="156B9E46"/>
    <w:rsid w:val="15AF9DB9"/>
    <w:rsid w:val="15BA3E43"/>
    <w:rsid w:val="15EAFA6B"/>
    <w:rsid w:val="166BB6B4"/>
    <w:rsid w:val="16D46F54"/>
    <w:rsid w:val="16F0F1B3"/>
    <w:rsid w:val="16FEA71E"/>
    <w:rsid w:val="17076EA7"/>
    <w:rsid w:val="1756F2F2"/>
    <w:rsid w:val="17DA8266"/>
    <w:rsid w:val="17FB690E"/>
    <w:rsid w:val="1859D05B"/>
    <w:rsid w:val="18D9A8DF"/>
    <w:rsid w:val="18E822BE"/>
    <w:rsid w:val="18F9CC8B"/>
    <w:rsid w:val="190900F0"/>
    <w:rsid w:val="190B61C1"/>
    <w:rsid w:val="1950DDA9"/>
    <w:rsid w:val="198A577B"/>
    <w:rsid w:val="199615FC"/>
    <w:rsid w:val="19A8E46A"/>
    <w:rsid w:val="19C0F0D8"/>
    <w:rsid w:val="19D15CF8"/>
    <w:rsid w:val="1A06441B"/>
    <w:rsid w:val="1A29CB13"/>
    <w:rsid w:val="1A9951E5"/>
    <w:rsid w:val="1ADE2523"/>
    <w:rsid w:val="1AEF6622"/>
    <w:rsid w:val="1B193AC0"/>
    <w:rsid w:val="1B7D86D6"/>
    <w:rsid w:val="1BBCDB08"/>
    <w:rsid w:val="1BF72F55"/>
    <w:rsid w:val="1C224C69"/>
    <w:rsid w:val="1C63E887"/>
    <w:rsid w:val="1C67AAE7"/>
    <w:rsid w:val="1C6CD5FC"/>
    <w:rsid w:val="1C8B1DBF"/>
    <w:rsid w:val="1CE055BB"/>
    <w:rsid w:val="1D9B9A58"/>
    <w:rsid w:val="1E3C2411"/>
    <w:rsid w:val="1F27DDCB"/>
    <w:rsid w:val="1F2F9E68"/>
    <w:rsid w:val="1F48DC7A"/>
    <w:rsid w:val="1F564BF6"/>
    <w:rsid w:val="1F5A3EA5"/>
    <w:rsid w:val="1F76010F"/>
    <w:rsid w:val="1F9A537B"/>
    <w:rsid w:val="1FA78DB6"/>
    <w:rsid w:val="1FB7740D"/>
    <w:rsid w:val="1FD7F472"/>
    <w:rsid w:val="1FF7B411"/>
    <w:rsid w:val="201B25F4"/>
    <w:rsid w:val="204946C2"/>
    <w:rsid w:val="204B5401"/>
    <w:rsid w:val="206DD667"/>
    <w:rsid w:val="2075859F"/>
    <w:rsid w:val="2146D2E4"/>
    <w:rsid w:val="214FB3CE"/>
    <w:rsid w:val="2156B44D"/>
    <w:rsid w:val="21B074CB"/>
    <w:rsid w:val="21D9BDA6"/>
    <w:rsid w:val="21E3C0F0"/>
    <w:rsid w:val="22093369"/>
    <w:rsid w:val="22282DC2"/>
    <w:rsid w:val="224B9B86"/>
    <w:rsid w:val="2251E255"/>
    <w:rsid w:val="225A1642"/>
    <w:rsid w:val="2263F143"/>
    <w:rsid w:val="227CB5EC"/>
    <w:rsid w:val="228097DF"/>
    <w:rsid w:val="23295B2A"/>
    <w:rsid w:val="233FC692"/>
    <w:rsid w:val="235CF1A3"/>
    <w:rsid w:val="236B6842"/>
    <w:rsid w:val="23758E07"/>
    <w:rsid w:val="2392098D"/>
    <w:rsid w:val="23A57729"/>
    <w:rsid w:val="23EDCF85"/>
    <w:rsid w:val="23F3F7A2"/>
    <w:rsid w:val="2409652A"/>
    <w:rsid w:val="2431DEA8"/>
    <w:rsid w:val="246DC49E"/>
    <w:rsid w:val="24B0FA6A"/>
    <w:rsid w:val="24C8D821"/>
    <w:rsid w:val="24D9A6B5"/>
    <w:rsid w:val="24E045EF"/>
    <w:rsid w:val="24ECFF3F"/>
    <w:rsid w:val="2546E952"/>
    <w:rsid w:val="25586551"/>
    <w:rsid w:val="256CD8C9"/>
    <w:rsid w:val="2594F911"/>
    <w:rsid w:val="25BCE25A"/>
    <w:rsid w:val="25D84F93"/>
    <w:rsid w:val="263CB375"/>
    <w:rsid w:val="264DCD38"/>
    <w:rsid w:val="266F222A"/>
    <w:rsid w:val="26A396FC"/>
    <w:rsid w:val="26F5EF79"/>
    <w:rsid w:val="270F0303"/>
    <w:rsid w:val="27515D75"/>
    <w:rsid w:val="27741FF4"/>
    <w:rsid w:val="27B41346"/>
    <w:rsid w:val="27BC292C"/>
    <w:rsid w:val="27D5B8C0"/>
    <w:rsid w:val="27FD1EEF"/>
    <w:rsid w:val="287317F7"/>
    <w:rsid w:val="28916DB4"/>
    <w:rsid w:val="28DA5EE5"/>
    <w:rsid w:val="28E910FF"/>
    <w:rsid w:val="28F4A10E"/>
    <w:rsid w:val="28FEB57E"/>
    <w:rsid w:val="297825FE"/>
    <w:rsid w:val="297E56D3"/>
    <w:rsid w:val="29A85F77"/>
    <w:rsid w:val="2A1C67E5"/>
    <w:rsid w:val="2A29C9A2"/>
    <w:rsid w:val="2A2DE10A"/>
    <w:rsid w:val="2A4838A6"/>
    <w:rsid w:val="2A609AD7"/>
    <w:rsid w:val="2A7AEA40"/>
    <w:rsid w:val="2A84941D"/>
    <w:rsid w:val="2ADD4CFE"/>
    <w:rsid w:val="2AF62E7F"/>
    <w:rsid w:val="2AF73646"/>
    <w:rsid w:val="2B26C71F"/>
    <w:rsid w:val="2B56817A"/>
    <w:rsid w:val="2B97E7C9"/>
    <w:rsid w:val="2BD6C5B8"/>
    <w:rsid w:val="2BE17722"/>
    <w:rsid w:val="2C0592A5"/>
    <w:rsid w:val="2C14B3B8"/>
    <w:rsid w:val="2C3BCD1A"/>
    <w:rsid w:val="2C5038F7"/>
    <w:rsid w:val="2C90FF2B"/>
    <w:rsid w:val="2C9971C6"/>
    <w:rsid w:val="2D36EB5B"/>
    <w:rsid w:val="2D9F04AD"/>
    <w:rsid w:val="2DB5706A"/>
    <w:rsid w:val="2DB71ED8"/>
    <w:rsid w:val="2DCA391B"/>
    <w:rsid w:val="2DCB1122"/>
    <w:rsid w:val="2E1DF637"/>
    <w:rsid w:val="2E2D17E0"/>
    <w:rsid w:val="2E2F088E"/>
    <w:rsid w:val="2E499925"/>
    <w:rsid w:val="2E6D8619"/>
    <w:rsid w:val="2E70A441"/>
    <w:rsid w:val="2EA5DA3B"/>
    <w:rsid w:val="2ECC24B2"/>
    <w:rsid w:val="2ED2CE38"/>
    <w:rsid w:val="2EDB399A"/>
    <w:rsid w:val="2F1A9DE9"/>
    <w:rsid w:val="2F8CC825"/>
    <w:rsid w:val="2FF4AF7E"/>
    <w:rsid w:val="3018CE07"/>
    <w:rsid w:val="3119E848"/>
    <w:rsid w:val="31540681"/>
    <w:rsid w:val="316F24A3"/>
    <w:rsid w:val="31CF3F8D"/>
    <w:rsid w:val="31D15D70"/>
    <w:rsid w:val="31E20385"/>
    <w:rsid w:val="3214DE2D"/>
    <w:rsid w:val="3221D873"/>
    <w:rsid w:val="3256A25B"/>
    <w:rsid w:val="32807B7A"/>
    <w:rsid w:val="328C6F67"/>
    <w:rsid w:val="332ED681"/>
    <w:rsid w:val="333FA9EB"/>
    <w:rsid w:val="335B30D0"/>
    <w:rsid w:val="336EDE21"/>
    <w:rsid w:val="33939F57"/>
    <w:rsid w:val="3399831A"/>
    <w:rsid w:val="33E4C92B"/>
    <w:rsid w:val="33FAE2D1"/>
    <w:rsid w:val="34164B06"/>
    <w:rsid w:val="341B5B8E"/>
    <w:rsid w:val="347C613B"/>
    <w:rsid w:val="3483E868"/>
    <w:rsid w:val="34AC665F"/>
    <w:rsid w:val="350F6455"/>
    <w:rsid w:val="3535DA42"/>
    <w:rsid w:val="35523EF8"/>
    <w:rsid w:val="3556C85F"/>
    <w:rsid w:val="3562DB0A"/>
    <w:rsid w:val="35BCA79F"/>
    <w:rsid w:val="35C41029"/>
    <w:rsid w:val="35FB851C"/>
    <w:rsid w:val="361FEBB0"/>
    <w:rsid w:val="3663F102"/>
    <w:rsid w:val="369E7B87"/>
    <w:rsid w:val="36E49D1A"/>
    <w:rsid w:val="36F62206"/>
    <w:rsid w:val="370476A2"/>
    <w:rsid w:val="372C54B8"/>
    <w:rsid w:val="375F4D27"/>
    <w:rsid w:val="375FE08A"/>
    <w:rsid w:val="37651E7E"/>
    <w:rsid w:val="376ADBC1"/>
    <w:rsid w:val="3797557D"/>
    <w:rsid w:val="37D2BC81"/>
    <w:rsid w:val="37DA0828"/>
    <w:rsid w:val="3817BAC1"/>
    <w:rsid w:val="382E3D10"/>
    <w:rsid w:val="38853F7A"/>
    <w:rsid w:val="3891C469"/>
    <w:rsid w:val="389ACF60"/>
    <w:rsid w:val="38F0AE77"/>
    <w:rsid w:val="3959697B"/>
    <w:rsid w:val="39D98398"/>
    <w:rsid w:val="39EBF869"/>
    <w:rsid w:val="3AEEB08A"/>
    <w:rsid w:val="3B0D2645"/>
    <w:rsid w:val="3B1513CB"/>
    <w:rsid w:val="3B1BDA84"/>
    <w:rsid w:val="3B419476"/>
    <w:rsid w:val="3B9EB13C"/>
    <w:rsid w:val="3BADA66D"/>
    <w:rsid w:val="3BB14D65"/>
    <w:rsid w:val="3BD6391B"/>
    <w:rsid w:val="3BDE738A"/>
    <w:rsid w:val="3C1F63BC"/>
    <w:rsid w:val="3CBCDE7F"/>
    <w:rsid w:val="3CBD2C25"/>
    <w:rsid w:val="3CD7AAB8"/>
    <w:rsid w:val="3D1964AE"/>
    <w:rsid w:val="3D215940"/>
    <w:rsid w:val="3DA6AFEE"/>
    <w:rsid w:val="3DB127DD"/>
    <w:rsid w:val="3E076CA6"/>
    <w:rsid w:val="3E78478E"/>
    <w:rsid w:val="3E872E40"/>
    <w:rsid w:val="3E8F21F8"/>
    <w:rsid w:val="3EA105D0"/>
    <w:rsid w:val="3EBCDF5C"/>
    <w:rsid w:val="3EE149DA"/>
    <w:rsid w:val="3EE7E49B"/>
    <w:rsid w:val="3F5AD854"/>
    <w:rsid w:val="3F841ACC"/>
    <w:rsid w:val="3F9CE81F"/>
    <w:rsid w:val="3FAAAFD4"/>
    <w:rsid w:val="3FD444A6"/>
    <w:rsid w:val="3FF16D98"/>
    <w:rsid w:val="400E7607"/>
    <w:rsid w:val="4018494B"/>
    <w:rsid w:val="40844BD6"/>
    <w:rsid w:val="408DF4D3"/>
    <w:rsid w:val="4125A473"/>
    <w:rsid w:val="417C67C9"/>
    <w:rsid w:val="41A6A3A9"/>
    <w:rsid w:val="41AE20F5"/>
    <w:rsid w:val="41CA2EF3"/>
    <w:rsid w:val="420E17C5"/>
    <w:rsid w:val="424415F2"/>
    <w:rsid w:val="42813E3F"/>
    <w:rsid w:val="42895319"/>
    <w:rsid w:val="42C7820F"/>
    <w:rsid w:val="431AFD5E"/>
    <w:rsid w:val="4324BD7B"/>
    <w:rsid w:val="4418F5A9"/>
    <w:rsid w:val="4491C59C"/>
    <w:rsid w:val="44A98201"/>
    <w:rsid w:val="44C581B0"/>
    <w:rsid w:val="44CA7C7F"/>
    <w:rsid w:val="455105FF"/>
    <w:rsid w:val="457BC2B8"/>
    <w:rsid w:val="458BF0C6"/>
    <w:rsid w:val="45916C21"/>
    <w:rsid w:val="45B380F6"/>
    <w:rsid w:val="4633D24E"/>
    <w:rsid w:val="464FD8EC"/>
    <w:rsid w:val="469EDCC7"/>
    <w:rsid w:val="46B80470"/>
    <w:rsid w:val="46F17C7B"/>
    <w:rsid w:val="470C0385"/>
    <w:rsid w:val="471D5CDD"/>
    <w:rsid w:val="4775AE9D"/>
    <w:rsid w:val="47DA6E76"/>
    <w:rsid w:val="47EA7202"/>
    <w:rsid w:val="47FE15DB"/>
    <w:rsid w:val="4816944B"/>
    <w:rsid w:val="482C6221"/>
    <w:rsid w:val="48AE4044"/>
    <w:rsid w:val="48E4C7E7"/>
    <w:rsid w:val="4921D379"/>
    <w:rsid w:val="498DD649"/>
    <w:rsid w:val="49D67D89"/>
    <w:rsid w:val="49EC6F4B"/>
    <w:rsid w:val="4A39A085"/>
    <w:rsid w:val="4A500571"/>
    <w:rsid w:val="4A543B7D"/>
    <w:rsid w:val="4AEB1193"/>
    <w:rsid w:val="4B1B9AD7"/>
    <w:rsid w:val="4B1FBE24"/>
    <w:rsid w:val="4B724DEA"/>
    <w:rsid w:val="4B8DCF52"/>
    <w:rsid w:val="4B9AFD84"/>
    <w:rsid w:val="4BAE76A2"/>
    <w:rsid w:val="4BE41B33"/>
    <w:rsid w:val="4BE855A3"/>
    <w:rsid w:val="4BF47DE6"/>
    <w:rsid w:val="4C490DAE"/>
    <w:rsid w:val="4C502A04"/>
    <w:rsid w:val="4CB76B38"/>
    <w:rsid w:val="4CC707F6"/>
    <w:rsid w:val="4D0460D6"/>
    <w:rsid w:val="4D354AE4"/>
    <w:rsid w:val="4D4F2B6B"/>
    <w:rsid w:val="4D7FEB94"/>
    <w:rsid w:val="4DB53B43"/>
    <w:rsid w:val="4E1FE88C"/>
    <w:rsid w:val="4E49AFFA"/>
    <w:rsid w:val="4EA03137"/>
    <w:rsid w:val="4EA63DB5"/>
    <w:rsid w:val="4ED0DC36"/>
    <w:rsid w:val="4EF980B1"/>
    <w:rsid w:val="4F28BD5F"/>
    <w:rsid w:val="4F31D2B4"/>
    <w:rsid w:val="50BF46F5"/>
    <w:rsid w:val="50DB2308"/>
    <w:rsid w:val="50F86626"/>
    <w:rsid w:val="510873A6"/>
    <w:rsid w:val="5109271F"/>
    <w:rsid w:val="511149DB"/>
    <w:rsid w:val="5114BA05"/>
    <w:rsid w:val="513B9CD3"/>
    <w:rsid w:val="514BF84D"/>
    <w:rsid w:val="518DE1A9"/>
    <w:rsid w:val="51D9A790"/>
    <w:rsid w:val="51DA6D2C"/>
    <w:rsid w:val="51F78130"/>
    <w:rsid w:val="523D715F"/>
    <w:rsid w:val="528CD1C8"/>
    <w:rsid w:val="52BF6FC6"/>
    <w:rsid w:val="52FEB120"/>
    <w:rsid w:val="5310AEFE"/>
    <w:rsid w:val="53180E21"/>
    <w:rsid w:val="536F6F8A"/>
    <w:rsid w:val="53935191"/>
    <w:rsid w:val="53F8B5CD"/>
    <w:rsid w:val="5403C484"/>
    <w:rsid w:val="542E641B"/>
    <w:rsid w:val="5448EA9D"/>
    <w:rsid w:val="546AD8CF"/>
    <w:rsid w:val="54DA9938"/>
    <w:rsid w:val="5529DA96"/>
    <w:rsid w:val="5585A164"/>
    <w:rsid w:val="55F0087D"/>
    <w:rsid w:val="5674DEE0"/>
    <w:rsid w:val="56BF8A29"/>
    <w:rsid w:val="56CAF253"/>
    <w:rsid w:val="57A945E7"/>
    <w:rsid w:val="57B3D2B0"/>
    <w:rsid w:val="57D6091D"/>
    <w:rsid w:val="58116E12"/>
    <w:rsid w:val="58263C3E"/>
    <w:rsid w:val="5860E1FE"/>
    <w:rsid w:val="588E6FD6"/>
    <w:rsid w:val="58C79E6B"/>
    <w:rsid w:val="58DB06E7"/>
    <w:rsid w:val="5935074F"/>
    <w:rsid w:val="5947DC20"/>
    <w:rsid w:val="59552A95"/>
    <w:rsid w:val="5962F0BE"/>
    <w:rsid w:val="596C5328"/>
    <w:rsid w:val="5988BCD8"/>
    <w:rsid w:val="59D55589"/>
    <w:rsid w:val="5A029315"/>
    <w:rsid w:val="5A074BB0"/>
    <w:rsid w:val="5A1BBB72"/>
    <w:rsid w:val="5A66293B"/>
    <w:rsid w:val="5B14AAFD"/>
    <w:rsid w:val="5B282612"/>
    <w:rsid w:val="5B39AC27"/>
    <w:rsid w:val="5B77745C"/>
    <w:rsid w:val="5B9E6376"/>
    <w:rsid w:val="5BA9B70F"/>
    <w:rsid w:val="5C09FC68"/>
    <w:rsid w:val="5C2A7C63"/>
    <w:rsid w:val="5C566FA8"/>
    <w:rsid w:val="5D07CB62"/>
    <w:rsid w:val="5D2C2F9B"/>
    <w:rsid w:val="5D535C34"/>
    <w:rsid w:val="5D546586"/>
    <w:rsid w:val="5DAE2026"/>
    <w:rsid w:val="5DDD6EAF"/>
    <w:rsid w:val="5E80BA17"/>
    <w:rsid w:val="5E899F6A"/>
    <w:rsid w:val="5EDD26C2"/>
    <w:rsid w:val="5F0DAA3A"/>
    <w:rsid w:val="5F5A8808"/>
    <w:rsid w:val="5F85D055"/>
    <w:rsid w:val="5FE183A9"/>
    <w:rsid w:val="5FF21CE8"/>
    <w:rsid w:val="600391AB"/>
    <w:rsid w:val="601038E5"/>
    <w:rsid w:val="6034586B"/>
    <w:rsid w:val="603B6DBC"/>
    <w:rsid w:val="603E0B5E"/>
    <w:rsid w:val="6057E2EE"/>
    <w:rsid w:val="6065662E"/>
    <w:rsid w:val="6071D499"/>
    <w:rsid w:val="60805C6C"/>
    <w:rsid w:val="608ECD45"/>
    <w:rsid w:val="60978691"/>
    <w:rsid w:val="60B13712"/>
    <w:rsid w:val="60D3BD23"/>
    <w:rsid w:val="6107ABAA"/>
    <w:rsid w:val="6107DDE2"/>
    <w:rsid w:val="6118B4FD"/>
    <w:rsid w:val="611FAC98"/>
    <w:rsid w:val="614714E5"/>
    <w:rsid w:val="61AB91EE"/>
    <w:rsid w:val="61C03A04"/>
    <w:rsid w:val="61EB606F"/>
    <w:rsid w:val="61FA14FA"/>
    <w:rsid w:val="621C2CCD"/>
    <w:rsid w:val="6234C0A1"/>
    <w:rsid w:val="624096ED"/>
    <w:rsid w:val="625806B2"/>
    <w:rsid w:val="630029BA"/>
    <w:rsid w:val="631FFB86"/>
    <w:rsid w:val="6347D9A7"/>
    <w:rsid w:val="63834890"/>
    <w:rsid w:val="638730D0"/>
    <w:rsid w:val="63F6A799"/>
    <w:rsid w:val="64142D00"/>
    <w:rsid w:val="641570AF"/>
    <w:rsid w:val="64309EB0"/>
    <w:rsid w:val="6496CEB1"/>
    <w:rsid w:val="64B660AB"/>
    <w:rsid w:val="64C545AE"/>
    <w:rsid w:val="64D0ED1F"/>
    <w:rsid w:val="64E3AA08"/>
    <w:rsid w:val="64E7A617"/>
    <w:rsid w:val="64F775AC"/>
    <w:rsid w:val="653D1927"/>
    <w:rsid w:val="654F1270"/>
    <w:rsid w:val="65A9AFDE"/>
    <w:rsid w:val="65DBA57E"/>
    <w:rsid w:val="65F05D07"/>
    <w:rsid w:val="667BFD69"/>
    <w:rsid w:val="66955350"/>
    <w:rsid w:val="66F1404A"/>
    <w:rsid w:val="67207896"/>
    <w:rsid w:val="67846C25"/>
    <w:rsid w:val="680B415C"/>
    <w:rsid w:val="68233C04"/>
    <w:rsid w:val="682C8114"/>
    <w:rsid w:val="68313648"/>
    <w:rsid w:val="6839101C"/>
    <w:rsid w:val="684D378B"/>
    <w:rsid w:val="68E150A0"/>
    <w:rsid w:val="68EFB3CA"/>
    <w:rsid w:val="68F2C9C5"/>
    <w:rsid w:val="690F2E14"/>
    <w:rsid w:val="69327A8D"/>
    <w:rsid w:val="6938EAC2"/>
    <w:rsid w:val="6982322F"/>
    <w:rsid w:val="69C846FD"/>
    <w:rsid w:val="69D43F97"/>
    <w:rsid w:val="6A2238AC"/>
    <w:rsid w:val="6A37CDBE"/>
    <w:rsid w:val="6AA0774F"/>
    <w:rsid w:val="6AA7E58B"/>
    <w:rsid w:val="6B469142"/>
    <w:rsid w:val="6B4B09C8"/>
    <w:rsid w:val="6B7E63E6"/>
    <w:rsid w:val="6B9BE341"/>
    <w:rsid w:val="6BE21C57"/>
    <w:rsid w:val="6C2D78A9"/>
    <w:rsid w:val="6C3219BF"/>
    <w:rsid w:val="6C62499B"/>
    <w:rsid w:val="6CB7CCB3"/>
    <w:rsid w:val="6CC5627F"/>
    <w:rsid w:val="6CCFA177"/>
    <w:rsid w:val="6CE0DDC9"/>
    <w:rsid w:val="6D2B079B"/>
    <w:rsid w:val="6D3872CD"/>
    <w:rsid w:val="6D40A33E"/>
    <w:rsid w:val="6D6D9D0B"/>
    <w:rsid w:val="6DB6F82D"/>
    <w:rsid w:val="6DBBB314"/>
    <w:rsid w:val="6E8E08FE"/>
    <w:rsid w:val="6E999D2D"/>
    <w:rsid w:val="6EB21055"/>
    <w:rsid w:val="6ED0BBE4"/>
    <w:rsid w:val="6F5D271F"/>
    <w:rsid w:val="6FA9AE94"/>
    <w:rsid w:val="6FC0E149"/>
    <w:rsid w:val="6FFF2C52"/>
    <w:rsid w:val="702D5CB0"/>
    <w:rsid w:val="70607FEF"/>
    <w:rsid w:val="7075F43E"/>
    <w:rsid w:val="709C9691"/>
    <w:rsid w:val="71072911"/>
    <w:rsid w:val="714305E9"/>
    <w:rsid w:val="71544558"/>
    <w:rsid w:val="71BFF8E0"/>
    <w:rsid w:val="71C2F92B"/>
    <w:rsid w:val="71C6291F"/>
    <w:rsid w:val="71D47A9C"/>
    <w:rsid w:val="720B7BBE"/>
    <w:rsid w:val="725E99FB"/>
    <w:rsid w:val="727A50E9"/>
    <w:rsid w:val="7290206C"/>
    <w:rsid w:val="7299AC0B"/>
    <w:rsid w:val="72A15B43"/>
    <w:rsid w:val="72A2F972"/>
    <w:rsid w:val="72A98537"/>
    <w:rsid w:val="72B1EC57"/>
    <w:rsid w:val="72B8E778"/>
    <w:rsid w:val="72C2F443"/>
    <w:rsid w:val="72C826F9"/>
    <w:rsid w:val="7309877B"/>
    <w:rsid w:val="731A7423"/>
    <w:rsid w:val="7327512F"/>
    <w:rsid w:val="73334CFA"/>
    <w:rsid w:val="7349A6FF"/>
    <w:rsid w:val="738902CB"/>
    <w:rsid w:val="73971221"/>
    <w:rsid w:val="740E7988"/>
    <w:rsid w:val="74360BD1"/>
    <w:rsid w:val="743EC9D3"/>
    <w:rsid w:val="744AD77F"/>
    <w:rsid w:val="744E3F27"/>
    <w:rsid w:val="7474B65D"/>
    <w:rsid w:val="74788C25"/>
    <w:rsid w:val="74D3F698"/>
    <w:rsid w:val="74FCB17F"/>
    <w:rsid w:val="750E2892"/>
    <w:rsid w:val="7516F23E"/>
    <w:rsid w:val="753D4ECF"/>
    <w:rsid w:val="75D5EB8E"/>
    <w:rsid w:val="75D8FC05"/>
    <w:rsid w:val="7621A0AE"/>
    <w:rsid w:val="7650350A"/>
    <w:rsid w:val="769DE4E3"/>
    <w:rsid w:val="76C842B1"/>
    <w:rsid w:val="772069F3"/>
    <w:rsid w:val="77233846"/>
    <w:rsid w:val="7763918F"/>
    <w:rsid w:val="7764E59C"/>
    <w:rsid w:val="776D1D2E"/>
    <w:rsid w:val="77792D06"/>
    <w:rsid w:val="77F3CCF8"/>
    <w:rsid w:val="7810BD73"/>
    <w:rsid w:val="7819C3D1"/>
    <w:rsid w:val="783ED011"/>
    <w:rsid w:val="786015C5"/>
    <w:rsid w:val="78A549BB"/>
    <w:rsid w:val="78BEFB79"/>
    <w:rsid w:val="79088981"/>
    <w:rsid w:val="7915B7B3"/>
    <w:rsid w:val="7916955C"/>
    <w:rsid w:val="791C9F32"/>
    <w:rsid w:val="79536891"/>
    <w:rsid w:val="79D13B04"/>
    <w:rsid w:val="7A27F8C5"/>
    <w:rsid w:val="7A582FBE"/>
    <w:rsid w:val="7A638E6D"/>
    <w:rsid w:val="7A682EDD"/>
    <w:rsid w:val="7A8FF224"/>
    <w:rsid w:val="7AFB7103"/>
    <w:rsid w:val="7B60C8BC"/>
    <w:rsid w:val="7B7E0F35"/>
    <w:rsid w:val="7BB06135"/>
    <w:rsid w:val="7BD12D54"/>
    <w:rsid w:val="7C5E6279"/>
    <w:rsid w:val="7CADB60E"/>
    <w:rsid w:val="7CB2AA00"/>
    <w:rsid w:val="7CEE0CF0"/>
    <w:rsid w:val="7CFC991D"/>
    <w:rsid w:val="7D05D7B8"/>
    <w:rsid w:val="7D10C94C"/>
    <w:rsid w:val="7D12628B"/>
    <w:rsid w:val="7D67C64E"/>
    <w:rsid w:val="7D73C0D5"/>
    <w:rsid w:val="7DA29561"/>
    <w:rsid w:val="7E3861EB"/>
    <w:rsid w:val="7EAEBAB5"/>
    <w:rsid w:val="7EC46ABD"/>
    <w:rsid w:val="7ECFBC03"/>
    <w:rsid w:val="7EEDC164"/>
    <w:rsid w:val="7F010FB9"/>
    <w:rsid w:val="7F09E6A5"/>
    <w:rsid w:val="7F521680"/>
    <w:rsid w:val="7F699078"/>
    <w:rsid w:val="7F6EA374"/>
    <w:rsid w:val="7F97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691D9"/>
  <w15:chartTrackingRefBased/>
  <w15:docId w15:val="{B54D6E77-316A-461A-A5FD-686D99CC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A3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A35BE"/>
  </w:style>
  <w:style w:type="character" w:customStyle="1" w:styleId="eop">
    <w:name w:val="eop"/>
    <w:basedOn w:val="DefaultParagraphFont"/>
    <w:rsid w:val="003A35BE"/>
  </w:style>
  <w:style w:type="character" w:styleId="Hyperlink">
    <w:name w:val="Hyperlink"/>
    <w:basedOn w:val="DefaultParagraphFont"/>
    <w:uiPriority w:val="99"/>
    <w:unhideWhenUsed/>
    <w:rsid w:val="00213D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3D7B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2926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2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26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69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0B5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A35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35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358D"/>
    <w:rPr>
      <w:vertAlign w:val="superscript"/>
    </w:rPr>
  </w:style>
  <w:style w:type="paragraph" w:styleId="Revision">
    <w:name w:val="Revision"/>
    <w:hidden/>
    <w:uiPriority w:val="99"/>
    <w:semiHidden/>
    <w:rsid w:val="0077322C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57C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agencystandingcommittee.org/iasc-protection-priority-global-protection-cluster/iasc-policy-protection-humanitarian-action-2016" TargetMode="External"/><Relationship Id="rId18" Type="http://schemas.openxmlformats.org/officeDocument/2006/relationships/hyperlink" Target="https://www.globalprotectioncluster.org/tools-and-guidance/hpc-guidance/" TargetMode="External"/><Relationship Id="rId26" Type="http://schemas.openxmlformats.org/officeDocument/2006/relationships/hyperlink" Target="https://unitednations.sharepoint.com/sites/Call2ActionforHumanRights-Implementation/Lists/Focal%20Points%20for%20the%20Call%20to%20Action%20for%20Human%20Righ/Sorted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nva.com/design/DAEZ5N_agU0/PRon0EkywKidioDJSoCnXw/view?utm_content=DAEZ5N_agU0&amp;utm_campaign=designshare&amp;utm_medium=link&amp;utm_source=recording_view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ssessments.hpc.tools/content/hpc-2022-facilitation-package" TargetMode="External"/><Relationship Id="rId17" Type="http://schemas.openxmlformats.org/officeDocument/2006/relationships/hyperlink" Target="https://www.globalprotectioncluster.org/2021/08/11/protection-analytical-framework/" TargetMode="External"/><Relationship Id="rId25" Type="http://schemas.openxmlformats.org/officeDocument/2006/relationships/hyperlink" Target="https://unitednations.sharepoint.com/sites/Call2ActionforHumanRights-Implementation/SitePages/One-stop-shop.aspx?Mode=Ed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tednations.sharepoint.com/sites/Call2ActionforHumanRights-Implementation/Lists/Focal%20Points%20for%20the%20Call%20to%20Action%20for%20Human%20Righ/Sorted.aspx" TargetMode="External"/><Relationship Id="rId20" Type="http://schemas.openxmlformats.org/officeDocument/2006/relationships/hyperlink" Target="https://professionalstandards.icrc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un.org%2Fsg%2Fsites%2Fwww.un.org.sg%2Ffiles%2Fatoms%2Ffiles%2FThe_Highest_Asperation_A_Call_To_Action_For_Human_Right_English.pdf&amp;data=02%7C01%7Ctadjbakh%40unhcr.org%7Ca0c1a48cacda446543df08d7f65a7525%7Ce5c37981666441348a0c6543d2af80be%7C0%7C0%7C637248740872286561&amp;sdata=FGnYd06eqpyPG9FbCcM8FpzwTryVtfz2Iud%2FlgcUWW4%3D&amp;reserved=0" TargetMode="External"/><Relationship Id="rId24" Type="http://schemas.openxmlformats.org/officeDocument/2006/relationships/hyperlink" Target="https://unitednations.sharepoint.com/sites/Call2ActionforHumanRights-Implementation/SitePages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ohchr.org/EN/HRBodies/SP/Pages/Welcomepage.aspx" TargetMode="External"/><Relationship Id="rId23" Type="http://schemas.openxmlformats.org/officeDocument/2006/relationships/hyperlink" Target="https://www.globalprotectioncluster.org/human-rights-engagement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un.org/en/content/common-agenda-re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nteragencystandingcommittee.org/inter-agency-standing-committee/iasc-principals-statement-centrality-protection-humanitarian-action-2013" TargetMode="External"/><Relationship Id="rId22" Type="http://schemas.openxmlformats.org/officeDocument/2006/relationships/hyperlink" Target="https://www.globalprotectioncluster.org/wp-content/uploads/PAF-Human-Rights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247223FFA904EB3D48C7E275FE999" ma:contentTypeVersion="11" ma:contentTypeDescription="Create a new document." ma:contentTypeScope="" ma:versionID="42f50092cabfcde3ed839b9315fbce47">
  <xsd:schema xmlns:xsd="http://www.w3.org/2001/XMLSchema" xmlns:xs="http://www.w3.org/2001/XMLSchema" xmlns:p="http://schemas.microsoft.com/office/2006/metadata/properties" xmlns:ns2="46e32f59-0e06-4b59-87cb-78f8a9d64c66" xmlns:ns3="313716de-8372-4c44-9b6f-f2d38f963259" targetNamespace="http://schemas.microsoft.com/office/2006/metadata/properties" ma:root="true" ma:fieldsID="2746661781938761591c002bbf72a723" ns2:_="" ns3:_="">
    <xsd:import namespace="46e32f59-0e06-4b59-87cb-78f8a9d64c66"/>
    <xsd:import namespace="313716de-8372-4c44-9b6f-f2d38f963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32f59-0e06-4b59-87cb-78f8a9d64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716de-8372-4c44-9b6f-f2d38f963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1728B-C34B-47D9-8D03-D9B5BF0E65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659EF-E7EE-467E-971C-EC0139CCF4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7354D-C07D-42C7-92F4-A9759AB0F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32f59-0e06-4b59-87cb-78f8a9d64c66"/>
    <ds:schemaRef ds:uri="313716de-8372-4c44-9b6f-f2d38f963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A1F69D-26B7-4AF2-9F42-2301688A8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1470</Words>
  <Characters>8382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Svobodova</dc:creator>
  <cp:keywords/>
  <dc:description/>
  <cp:lastModifiedBy>Valerie Svobodova</cp:lastModifiedBy>
  <cp:revision>2</cp:revision>
  <cp:lastPrinted>2021-12-06T10:27:00Z</cp:lastPrinted>
  <dcterms:created xsi:type="dcterms:W3CDTF">2021-12-06T10:50:00Z</dcterms:created>
  <dcterms:modified xsi:type="dcterms:W3CDTF">2021-12-06T10:50:00Z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0x010100344247223FFA904EB3D48C7E275FE999</vt:lpwstr>
  </property>
</Properties>
</file>