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E8E2E" w14:textId="5E69AE9A" w:rsidR="00D13ACA" w:rsidRDefault="00D13ACA" w:rsidP="00D13ACA">
      <w:pPr>
        <w:jc w:val="center"/>
        <w:rPr>
          <w:b/>
          <w:bCs/>
        </w:rPr>
      </w:pPr>
      <w:r>
        <w:rPr>
          <w:b/>
          <w:bCs/>
        </w:rPr>
        <w:t>IAWG Workstream</w:t>
      </w:r>
    </w:p>
    <w:p w14:paraId="175C4282" w14:textId="3204EC16" w:rsidR="00D13ACA" w:rsidRDefault="00D13ACA" w:rsidP="00D13ACA">
      <w:pPr>
        <w:jc w:val="center"/>
        <w:rPr>
          <w:b/>
          <w:bCs/>
        </w:rPr>
      </w:pPr>
      <w:r>
        <w:rPr>
          <w:b/>
          <w:bCs/>
        </w:rPr>
        <w:t>Integrated analysis- Food Security and Protection</w:t>
      </w:r>
    </w:p>
    <w:p w14:paraId="19C008C6" w14:textId="77777777" w:rsidR="00D13ACA" w:rsidRDefault="00D13ACA" w:rsidP="007038FD">
      <w:pPr>
        <w:jc w:val="both"/>
        <w:rPr>
          <w:b/>
          <w:bCs/>
        </w:rPr>
      </w:pPr>
    </w:p>
    <w:p w14:paraId="75610918" w14:textId="3591142E" w:rsidR="007038FD" w:rsidRPr="00EC2D11" w:rsidRDefault="007038FD" w:rsidP="007038FD">
      <w:pPr>
        <w:jc w:val="both"/>
      </w:pPr>
      <w:r w:rsidRPr="00EC2D11">
        <w:rPr>
          <w:b/>
          <w:bCs/>
        </w:rPr>
        <w:t>Problem statement:</w:t>
      </w:r>
      <w:r w:rsidRPr="00EC2D11">
        <w:t xml:space="preserve">  The GPC has formed a working group to </w:t>
      </w:r>
      <w:r w:rsidR="00E84A57" w:rsidRPr="00EC2D11">
        <w:t>examine</w:t>
      </w:r>
      <w:r w:rsidRPr="00EC2D11">
        <w:t xml:space="preserve"> </w:t>
      </w:r>
      <w:r w:rsidR="00E84A57" w:rsidRPr="00EC2D11">
        <w:t xml:space="preserve">the </w:t>
      </w:r>
      <w:proofErr w:type="spellStart"/>
      <w:r w:rsidR="00404766" w:rsidRPr="00EC2D11">
        <w:t>tradeoff</w:t>
      </w:r>
      <w:proofErr w:type="spellEnd"/>
      <w:r w:rsidRPr="00EC2D11">
        <w:t xml:space="preserve"> </w:t>
      </w:r>
      <w:r w:rsidR="00D15410" w:rsidRPr="00EC2D11">
        <w:t xml:space="preserve">between </w:t>
      </w:r>
      <w:r w:rsidR="008639B8" w:rsidRPr="00EC2D11">
        <w:t>protection risks</w:t>
      </w:r>
      <w:r w:rsidR="00D15410" w:rsidRPr="00EC2D11">
        <w:t xml:space="preserve"> and hunger</w:t>
      </w:r>
      <w:r w:rsidR="00D15410" w:rsidRPr="00EC2D11" w:rsidDel="00E84A57">
        <w:t xml:space="preserve"> </w:t>
      </w:r>
      <w:r w:rsidR="00E84A57" w:rsidRPr="00EC2D11">
        <w:t>facing the most acutely</w:t>
      </w:r>
      <w:r w:rsidRPr="00EC2D11">
        <w:t xml:space="preserve"> affected population</w:t>
      </w:r>
      <w:r w:rsidR="00E84A57" w:rsidRPr="00EC2D11">
        <w:t>s</w:t>
      </w:r>
      <w:r w:rsidRPr="00EC2D11">
        <w:t xml:space="preserve"> in humanitarian </w:t>
      </w:r>
      <w:proofErr w:type="gramStart"/>
      <w:r w:rsidRPr="00EC2D11">
        <w:t xml:space="preserve">crises </w:t>
      </w:r>
      <w:r w:rsidR="00EE432F" w:rsidRPr="00EC2D11">
        <w:t>,</w:t>
      </w:r>
      <w:proofErr w:type="gramEnd"/>
      <w:r w:rsidR="00EE432F" w:rsidRPr="00EC2D11">
        <w:t xml:space="preserve"> </w:t>
      </w:r>
      <w:r w:rsidR="00D15410" w:rsidRPr="00EC2D11">
        <w:t>with a view</w:t>
      </w:r>
      <w:r w:rsidR="00EE432F" w:rsidRPr="00EC2D11">
        <w:t xml:space="preserve"> to propos</w:t>
      </w:r>
      <w:r w:rsidR="00D15410" w:rsidRPr="00EC2D11">
        <w:t xml:space="preserve">ing more appropriate and </w:t>
      </w:r>
      <w:r w:rsidR="00EE432F" w:rsidRPr="00EC2D11">
        <w:t>effective response</w:t>
      </w:r>
      <w:r w:rsidR="00D15410" w:rsidRPr="00EC2D11">
        <w:t>s</w:t>
      </w:r>
      <w:r w:rsidRPr="00EC2D11">
        <w:t>.</w:t>
      </w:r>
      <w:r w:rsidR="008639B8" w:rsidRPr="00EC2D11">
        <w:t xml:space="preserve">  This builds on the advocacy work taken on by the GPC with the food platform which aims to 1) bring the voices of affected population to the centre and 2) show how integrating protection in food security is crucial. </w:t>
      </w:r>
    </w:p>
    <w:p w14:paraId="7F621718" w14:textId="72D78070" w:rsidR="009A2024" w:rsidRPr="00EC2D11" w:rsidRDefault="009A2024" w:rsidP="007038FD">
      <w:pPr>
        <w:jc w:val="both"/>
        <w:rPr>
          <w:b/>
          <w:bCs/>
        </w:rPr>
      </w:pPr>
      <w:r w:rsidRPr="00EC2D11">
        <w:rPr>
          <w:b/>
          <w:bCs/>
        </w:rPr>
        <w:t>The relationship and interplay between food insecurity and protection risks</w:t>
      </w:r>
    </w:p>
    <w:p w14:paraId="56DD8E90" w14:textId="7415546D" w:rsidR="00EE432F" w:rsidRPr="00EC2D11" w:rsidRDefault="00485AF9" w:rsidP="007038FD">
      <w:pPr>
        <w:jc w:val="both"/>
      </w:pPr>
      <w:r w:rsidRPr="00EC2D11">
        <w:t>I</w:t>
      </w:r>
      <w:r w:rsidR="00B11DEF" w:rsidRPr="00EC2D11">
        <w:t xml:space="preserve">n the </w:t>
      </w:r>
      <w:proofErr w:type="gramStart"/>
      <w:r w:rsidR="00B11DEF" w:rsidRPr="00EC2D11">
        <w:t>context  of</w:t>
      </w:r>
      <w:proofErr w:type="gramEnd"/>
      <w:r w:rsidR="00B11DEF" w:rsidRPr="00EC2D11">
        <w:t xml:space="preserve"> humanitarian crisis, </w:t>
      </w:r>
      <w:r w:rsidR="009A2024" w:rsidRPr="00EC2D11">
        <w:t xml:space="preserve">there is </w:t>
      </w:r>
      <w:r w:rsidR="00B11DEF" w:rsidRPr="00EC2D11">
        <w:t>frequently</w:t>
      </w:r>
      <w:r w:rsidR="009A2024" w:rsidRPr="00EC2D11">
        <w:t xml:space="preserve"> a </w:t>
      </w:r>
      <w:r w:rsidR="00B11DEF" w:rsidRPr="00EC2D11">
        <w:t>m</w:t>
      </w:r>
      <w:r w:rsidR="009041F2" w:rsidRPr="00EC2D11">
        <w:t>ismatch</w:t>
      </w:r>
      <w:r w:rsidR="009A2024" w:rsidRPr="00EC2D11">
        <w:t xml:space="preserve"> between</w:t>
      </w:r>
      <w:r w:rsidR="009041F2" w:rsidRPr="00EC2D11">
        <w:t xml:space="preserve"> </w:t>
      </w:r>
      <w:r w:rsidR="00D15410" w:rsidRPr="00EC2D11">
        <w:t xml:space="preserve">the narrowness of agency </w:t>
      </w:r>
      <w:r w:rsidR="009041F2" w:rsidRPr="00EC2D11">
        <w:t xml:space="preserve">mandates and the </w:t>
      </w:r>
      <w:r w:rsidR="009A2024" w:rsidRPr="00EC2D11">
        <w:t>complex re</w:t>
      </w:r>
      <w:r w:rsidR="00B11DEF" w:rsidRPr="00EC2D11">
        <w:t>al</w:t>
      </w:r>
      <w:r w:rsidR="009A2024" w:rsidRPr="00EC2D11">
        <w:t>ity of affected populations’ overlapping</w:t>
      </w:r>
      <w:r w:rsidR="009041F2" w:rsidRPr="00EC2D11">
        <w:t xml:space="preserve"> and mutually </w:t>
      </w:r>
      <w:r w:rsidR="00B11DEF" w:rsidRPr="00EC2D11">
        <w:t>reinforcing</w:t>
      </w:r>
      <w:r w:rsidR="009041F2" w:rsidRPr="00EC2D11">
        <w:t xml:space="preserve"> threats. </w:t>
      </w:r>
      <w:r w:rsidR="00B11DEF" w:rsidRPr="00EC2D11">
        <w:t>Affected populations’ protection concerns are multifaceted and dynamic;</w:t>
      </w:r>
      <w:r w:rsidRPr="00EC2D11">
        <w:t xml:space="preserve"> the</w:t>
      </w:r>
      <w:r w:rsidR="00B11DEF" w:rsidRPr="00EC2D11">
        <w:t xml:space="preserve"> </w:t>
      </w:r>
      <w:r w:rsidRPr="00EC2D11">
        <w:t xml:space="preserve">‘delivery package’ of </w:t>
      </w:r>
      <w:r w:rsidR="00B11DEF" w:rsidRPr="00EC2D11">
        <w:t>agencie</w:t>
      </w:r>
      <w:r w:rsidRPr="00EC2D11">
        <w:t>s</w:t>
      </w:r>
      <w:r w:rsidR="00B11DEF" w:rsidRPr="00EC2D11">
        <w:t>, less so. This is to say that t</w:t>
      </w:r>
      <w:r w:rsidR="009041F2" w:rsidRPr="00EC2D11">
        <w:t xml:space="preserve">he </w:t>
      </w:r>
      <w:r w:rsidR="00D15410" w:rsidRPr="00EC2D11">
        <w:t>specificity</w:t>
      </w:r>
      <w:r w:rsidR="009041F2" w:rsidRPr="00EC2D11">
        <w:t xml:space="preserve"> of mandates </w:t>
      </w:r>
      <w:r w:rsidR="00B11DEF" w:rsidRPr="00EC2D11">
        <w:t xml:space="preserve">occasionally </w:t>
      </w:r>
      <w:r w:rsidR="009041F2" w:rsidRPr="00EC2D11">
        <w:t>makes a poor fit with the complex, dy</w:t>
      </w:r>
      <w:r w:rsidR="000571C4" w:rsidRPr="00EC2D11">
        <w:t>n</w:t>
      </w:r>
      <w:r w:rsidR="009041F2" w:rsidRPr="00EC2D11">
        <w:t>amic and mut</w:t>
      </w:r>
      <w:r w:rsidR="000571C4" w:rsidRPr="00EC2D11">
        <w:t>u</w:t>
      </w:r>
      <w:r w:rsidR="009041F2" w:rsidRPr="00EC2D11">
        <w:t>ally reinforcing nature of affected populations</w:t>
      </w:r>
      <w:r w:rsidR="00B11DEF" w:rsidRPr="00EC2D11">
        <w:t>’ complex</w:t>
      </w:r>
      <w:r w:rsidR="009041F2" w:rsidRPr="00EC2D11">
        <w:t xml:space="preserve"> security </w:t>
      </w:r>
      <w:r w:rsidR="000571C4" w:rsidRPr="00EC2D11">
        <w:t>environment</w:t>
      </w:r>
      <w:r w:rsidR="009041F2" w:rsidRPr="00EC2D11">
        <w:t>. For affected populations,</w:t>
      </w:r>
      <w:r w:rsidR="0004107C" w:rsidRPr="00EC2D11">
        <w:t xml:space="preserve"> </w:t>
      </w:r>
      <w:r w:rsidR="000571C4" w:rsidRPr="00EC2D11">
        <w:t>compromise</w:t>
      </w:r>
      <w:r w:rsidR="009A2024" w:rsidRPr="00EC2D11">
        <w:t xml:space="preserve">, </w:t>
      </w:r>
      <w:r w:rsidR="00EE432F" w:rsidRPr="00EC2D11">
        <w:t xml:space="preserve">tension </w:t>
      </w:r>
      <w:r w:rsidR="009A2024" w:rsidRPr="00EC2D11">
        <w:t xml:space="preserve">and </w:t>
      </w:r>
      <w:proofErr w:type="spellStart"/>
      <w:r w:rsidR="009A2024" w:rsidRPr="00EC2D11">
        <w:t>tradeoffs</w:t>
      </w:r>
      <w:proofErr w:type="spellEnd"/>
      <w:r w:rsidR="009A2024" w:rsidRPr="00EC2D11">
        <w:t xml:space="preserve"> </w:t>
      </w:r>
      <w:r w:rsidR="00EE432F" w:rsidRPr="00EC2D11">
        <w:t xml:space="preserve">between </w:t>
      </w:r>
      <w:r w:rsidR="009A2024" w:rsidRPr="00EC2D11">
        <w:t>protection risks</w:t>
      </w:r>
      <w:r w:rsidR="00EE432F" w:rsidRPr="00EC2D11">
        <w:t xml:space="preserve"> </w:t>
      </w:r>
      <w:r w:rsidR="009A2024" w:rsidRPr="00EC2D11">
        <w:t xml:space="preserve">on the one hand </w:t>
      </w:r>
      <w:r w:rsidR="00EE432F" w:rsidRPr="00EC2D11">
        <w:t xml:space="preserve">and food insecurity </w:t>
      </w:r>
      <w:r w:rsidR="009A2024" w:rsidRPr="00EC2D11">
        <w:t xml:space="preserve">on the other </w:t>
      </w:r>
      <w:r w:rsidR="00EE432F" w:rsidRPr="00EC2D11">
        <w:t>are a reality</w:t>
      </w:r>
      <w:r w:rsidR="000571C4" w:rsidRPr="00EC2D11">
        <w:t xml:space="preserve">. This dynamic has </w:t>
      </w:r>
      <w:r w:rsidR="00E84A57" w:rsidRPr="00EC2D11">
        <w:t>far</w:t>
      </w:r>
      <w:r w:rsidR="00EE432F" w:rsidRPr="00EC2D11">
        <w:t>-</w:t>
      </w:r>
      <w:r w:rsidR="00E84A57" w:rsidRPr="00EC2D11">
        <w:t>reaching implications for</w:t>
      </w:r>
      <w:r w:rsidRPr="00EC2D11">
        <w:t xml:space="preserve"> shaping an effective</w:t>
      </w:r>
      <w:r w:rsidR="00E84A57" w:rsidRPr="00EC2D11">
        <w:t xml:space="preserve"> humanitarian response. </w:t>
      </w:r>
      <w:r w:rsidR="007038FD" w:rsidRPr="00EC2D11">
        <w:t>Protection programmes overlook</w:t>
      </w:r>
      <w:r w:rsidR="00B45BFF" w:rsidRPr="00EC2D11">
        <w:t>ing</w:t>
      </w:r>
      <w:r w:rsidR="007038FD" w:rsidRPr="00EC2D11">
        <w:t xml:space="preserve"> </w:t>
      </w:r>
      <w:r w:rsidR="00EA5755" w:rsidRPr="00EC2D11">
        <w:t>the reality of hunger and the coping mechanisms affected populations resort to</w:t>
      </w:r>
      <w:r w:rsidR="00404766" w:rsidRPr="00EC2D11">
        <w:t xml:space="preserve"> as a result</w:t>
      </w:r>
      <w:r w:rsidR="00EA5755" w:rsidRPr="00EC2D11">
        <w:t xml:space="preserve"> </w:t>
      </w:r>
      <w:r w:rsidR="007038FD" w:rsidRPr="00EC2D11">
        <w:t xml:space="preserve">can have a negative impact on food </w:t>
      </w:r>
      <w:r w:rsidR="00B45BFF" w:rsidRPr="00EC2D11">
        <w:t>security</w:t>
      </w:r>
      <w:r w:rsidR="008639B8" w:rsidRPr="00EC2D11">
        <w:t xml:space="preserve">.  </w:t>
      </w:r>
      <w:r w:rsidR="000571C4" w:rsidRPr="00EC2D11">
        <w:t>C</w:t>
      </w:r>
      <w:r w:rsidR="00E54270" w:rsidRPr="00EC2D11">
        <w:t>onversely</w:t>
      </w:r>
      <w:r w:rsidR="00B45BFF" w:rsidRPr="00EC2D11">
        <w:t xml:space="preserve">, </w:t>
      </w:r>
      <w:r w:rsidR="007038FD" w:rsidRPr="00EC2D11">
        <w:t>food assistance</w:t>
      </w:r>
      <w:r w:rsidR="00B45BFF" w:rsidRPr="00EC2D11">
        <w:t xml:space="preserve"> programming conceived and implemented without due attention to the larger context of risks to affected populations</w:t>
      </w:r>
      <w:r w:rsidR="007038FD" w:rsidRPr="00EC2D11">
        <w:t xml:space="preserve"> can have a negative impact on protection outcomes</w:t>
      </w:r>
      <w:r w:rsidR="00404766" w:rsidRPr="00EC2D11">
        <w:t xml:space="preserve"> more broadly</w:t>
      </w:r>
      <w:r w:rsidR="00B45BFF" w:rsidRPr="00EC2D11">
        <w:t xml:space="preserve">. </w:t>
      </w:r>
      <w:r w:rsidR="00404766" w:rsidRPr="00EC2D11">
        <w:t xml:space="preserve">Narrow assessments of food security </w:t>
      </w:r>
      <w:r w:rsidR="00EE432F" w:rsidRPr="00EC2D11">
        <w:t xml:space="preserve">conducted </w:t>
      </w:r>
      <w:r w:rsidR="00404766" w:rsidRPr="00EC2D11">
        <w:t xml:space="preserve">in the absence of a rounded assessment of protection concerns can be blind to </w:t>
      </w:r>
      <w:r w:rsidR="00E84A57" w:rsidRPr="00EC2D11">
        <w:t xml:space="preserve">serious </w:t>
      </w:r>
      <w:r w:rsidR="00EE432F" w:rsidRPr="00EC2D11">
        <w:t>threats and negative coping mechanisms</w:t>
      </w:r>
      <w:r w:rsidR="00E84A57" w:rsidRPr="00EC2D11">
        <w:t xml:space="preserve"> </w:t>
      </w:r>
      <w:r w:rsidR="00541E12" w:rsidRPr="00EC2D11">
        <w:t xml:space="preserve">that persist </w:t>
      </w:r>
      <w:r w:rsidR="009A2024" w:rsidRPr="00EC2D11">
        <w:t xml:space="preserve">even </w:t>
      </w:r>
      <w:r w:rsidR="00E84A57" w:rsidRPr="00EC2D11">
        <w:t>in the context of adequa</w:t>
      </w:r>
      <w:r w:rsidR="00541E12" w:rsidRPr="00EC2D11">
        <w:t>t</w:t>
      </w:r>
      <w:r w:rsidR="00E84A57" w:rsidRPr="00EC2D11">
        <w:t>e food security.</w:t>
      </w:r>
    </w:p>
    <w:p w14:paraId="3395A69C" w14:textId="07DD0505" w:rsidR="00B45BFF" w:rsidRPr="00EC2D11" w:rsidRDefault="00E84A57" w:rsidP="007038FD">
      <w:pPr>
        <w:jc w:val="both"/>
      </w:pPr>
      <w:r w:rsidRPr="00EC2D11">
        <w:t xml:space="preserve">If interventions are to avoid these blind spots and unintended </w:t>
      </w:r>
      <w:r w:rsidR="00B11DEF" w:rsidRPr="00EC2D11">
        <w:t>consequences</w:t>
      </w:r>
      <w:r w:rsidRPr="00EC2D11">
        <w:t>,</w:t>
      </w:r>
      <w:r w:rsidR="00541E12" w:rsidRPr="00EC2D11">
        <w:t xml:space="preserve"> they must be </w:t>
      </w:r>
      <w:r w:rsidR="007038FD" w:rsidRPr="00EC2D11">
        <w:t>well</w:t>
      </w:r>
      <w:r w:rsidR="00541E12" w:rsidRPr="00EC2D11">
        <w:t xml:space="preserve"> </w:t>
      </w:r>
      <w:r w:rsidR="007038FD" w:rsidRPr="00EC2D11">
        <w:t>conceived</w:t>
      </w:r>
      <w:r w:rsidR="00B45BFF" w:rsidRPr="00EC2D11">
        <w:t>, integrated</w:t>
      </w:r>
      <w:r w:rsidR="007038FD" w:rsidRPr="00EC2D11">
        <w:t xml:space="preserve"> and </w:t>
      </w:r>
      <w:r w:rsidR="00B45BFF" w:rsidRPr="00EC2D11">
        <w:t xml:space="preserve">correctly </w:t>
      </w:r>
      <w:r w:rsidR="007038FD" w:rsidRPr="00EC2D11">
        <w:t>implemented</w:t>
      </w:r>
      <w:r w:rsidR="00B11DEF" w:rsidRPr="00EC2D11">
        <w:t>, w</w:t>
      </w:r>
      <w:r w:rsidR="00541E12" w:rsidRPr="00EC2D11">
        <w:t>ith a view to</w:t>
      </w:r>
      <w:r w:rsidRPr="00EC2D11">
        <w:t xml:space="preserve"> </w:t>
      </w:r>
      <w:r w:rsidR="00404766" w:rsidRPr="00EC2D11">
        <w:t>align</w:t>
      </w:r>
      <w:r w:rsidRPr="00EC2D11">
        <w:t>ing</w:t>
      </w:r>
      <w:r w:rsidR="007038FD" w:rsidRPr="00EC2D11">
        <w:t xml:space="preserve"> </w:t>
      </w:r>
      <w:r w:rsidR="009041F2" w:rsidRPr="00EC2D11">
        <w:t xml:space="preserve">and harmonising </w:t>
      </w:r>
      <w:r w:rsidR="007038FD" w:rsidRPr="00EC2D11">
        <w:t xml:space="preserve">food assistance </w:t>
      </w:r>
      <w:r w:rsidR="00404766" w:rsidRPr="00EC2D11">
        <w:t xml:space="preserve">and protection </w:t>
      </w:r>
      <w:r w:rsidR="007038FD" w:rsidRPr="00EC2D11">
        <w:t>outcomes</w:t>
      </w:r>
      <w:r w:rsidR="00EE432F" w:rsidRPr="00EC2D11">
        <w:t xml:space="preserve">. </w:t>
      </w:r>
      <w:r w:rsidR="000571C4" w:rsidRPr="00EC2D11">
        <w:t>A</w:t>
      </w:r>
      <w:r w:rsidR="00EE432F" w:rsidRPr="00EC2D11">
        <w:t>n integrated and comprehensive approach to</w:t>
      </w:r>
      <w:r w:rsidR="00D13ACA" w:rsidRPr="00EC2D11">
        <w:t xml:space="preserve"> joint analysis and</w:t>
      </w:r>
      <w:r w:rsidR="00EE432F" w:rsidRPr="00EC2D11">
        <w:t xml:space="preserve"> programming food assistance and protection is essential.  </w:t>
      </w:r>
    </w:p>
    <w:p w14:paraId="26A6DE5F" w14:textId="2BF93815" w:rsidR="007038FD" w:rsidRPr="00EC2D11" w:rsidRDefault="007038FD" w:rsidP="007038FD">
      <w:pPr>
        <w:jc w:val="both"/>
      </w:pPr>
      <w:r w:rsidRPr="00EC2D11">
        <w:t xml:space="preserve">A </w:t>
      </w:r>
      <w:r w:rsidR="00E84A57" w:rsidRPr="00EC2D11">
        <w:t>few short ex</w:t>
      </w:r>
      <w:r w:rsidR="000571C4" w:rsidRPr="00EC2D11">
        <w:t>amp</w:t>
      </w:r>
      <w:r w:rsidR="00E84A57" w:rsidRPr="00EC2D11">
        <w:t>les suffice to illustrat</w:t>
      </w:r>
      <w:r w:rsidR="00B11DEF" w:rsidRPr="00EC2D11">
        <w:t>e the workings</w:t>
      </w:r>
      <w:r w:rsidR="00E84A57" w:rsidRPr="00EC2D11">
        <w:t xml:space="preserve"> of this </w:t>
      </w:r>
      <w:r w:rsidR="00B45BFF" w:rsidRPr="00EC2D11">
        <w:t>interdependence in practice</w:t>
      </w:r>
      <w:r w:rsidR="00E84A57" w:rsidRPr="00EC2D11">
        <w:t xml:space="preserve">. </w:t>
      </w:r>
      <w:r w:rsidR="000571C4" w:rsidRPr="00EC2D11">
        <w:t>F</w:t>
      </w:r>
      <w:r w:rsidR="00EE432F" w:rsidRPr="00EC2D11">
        <w:t>ood security actors often struggle to integrate the broader protection environ</w:t>
      </w:r>
      <w:r w:rsidR="000571C4" w:rsidRPr="00EC2D11">
        <w:t>men</w:t>
      </w:r>
      <w:r w:rsidR="00EE432F" w:rsidRPr="00EC2D11">
        <w:t xml:space="preserve">t into their </w:t>
      </w:r>
      <w:r w:rsidR="000571C4" w:rsidRPr="00EC2D11">
        <w:t>assessments</w:t>
      </w:r>
      <w:r w:rsidR="00EE432F" w:rsidRPr="00EC2D11">
        <w:t xml:space="preserve"> and response. </w:t>
      </w:r>
      <w:proofErr w:type="gramStart"/>
      <w:r w:rsidR="000571C4" w:rsidRPr="00EC2D11">
        <w:t>However</w:t>
      </w:r>
      <w:proofErr w:type="gramEnd"/>
      <w:r w:rsidR="000571C4" w:rsidRPr="00EC2D11">
        <w:t xml:space="preserve"> f</w:t>
      </w:r>
      <w:r w:rsidR="00EE432F" w:rsidRPr="00EC2D11">
        <w:t xml:space="preserve">or affected </w:t>
      </w:r>
      <w:r w:rsidR="000571C4" w:rsidRPr="00EC2D11">
        <w:t>populations</w:t>
      </w:r>
      <w:r w:rsidR="00EE432F" w:rsidRPr="00EC2D11">
        <w:t xml:space="preserve">, </w:t>
      </w:r>
      <w:r w:rsidR="00B11DEF" w:rsidRPr="00EC2D11">
        <w:t>balancing the need for food with security risks</w:t>
      </w:r>
      <w:r w:rsidR="00EE432F" w:rsidRPr="00EC2D11">
        <w:t xml:space="preserve"> </w:t>
      </w:r>
      <w:r w:rsidR="000571C4" w:rsidRPr="00EC2D11">
        <w:t>frequently</w:t>
      </w:r>
      <w:r w:rsidR="00EE432F" w:rsidRPr="00EC2D11">
        <w:t xml:space="preserve"> take the form of a </w:t>
      </w:r>
      <w:proofErr w:type="spellStart"/>
      <w:r w:rsidR="00EE432F" w:rsidRPr="00EC2D11">
        <w:t>tradeoff</w:t>
      </w:r>
      <w:proofErr w:type="spellEnd"/>
      <w:r w:rsidR="00EE432F" w:rsidRPr="00EC2D11">
        <w:t xml:space="preserve">. </w:t>
      </w:r>
      <w:r w:rsidR="00B11DEF" w:rsidRPr="00EC2D11">
        <w:t xml:space="preserve">In practice, </w:t>
      </w:r>
      <w:r w:rsidR="000571C4" w:rsidRPr="00EC2D11">
        <w:t>a</w:t>
      </w:r>
      <w:r w:rsidR="00EE432F" w:rsidRPr="00EC2D11">
        <w:t xml:space="preserve">cceptable </w:t>
      </w:r>
      <w:r w:rsidR="000571C4" w:rsidRPr="00EC2D11">
        <w:t>nutrition</w:t>
      </w:r>
      <w:r w:rsidR="00EE432F" w:rsidRPr="00EC2D11">
        <w:t xml:space="preserve"> or food security scores are often obtained at the cost of </w:t>
      </w:r>
      <w:r w:rsidR="009041F2" w:rsidRPr="00EC2D11">
        <w:t xml:space="preserve">resort </w:t>
      </w:r>
      <w:r w:rsidR="000571C4" w:rsidRPr="00EC2D11">
        <w:t>to</w:t>
      </w:r>
      <w:r w:rsidR="009041F2" w:rsidRPr="00EC2D11">
        <w:t xml:space="preserve"> negative coping </w:t>
      </w:r>
      <w:r w:rsidR="000571C4" w:rsidRPr="00EC2D11">
        <w:t>mechanisms</w:t>
      </w:r>
      <w:r w:rsidR="00EE432F" w:rsidRPr="00EC2D11">
        <w:t xml:space="preserve"> – </w:t>
      </w:r>
      <w:r w:rsidR="009041F2" w:rsidRPr="00EC2D11">
        <w:t xml:space="preserve">such as </w:t>
      </w:r>
      <w:r w:rsidR="00EE432F" w:rsidRPr="00EC2D11">
        <w:t>child labou</w:t>
      </w:r>
      <w:r w:rsidR="000571C4" w:rsidRPr="00EC2D11">
        <w:t>r</w:t>
      </w:r>
      <w:r w:rsidR="00EE432F" w:rsidRPr="00EC2D11">
        <w:t>,</w:t>
      </w:r>
      <w:r w:rsidR="000571C4" w:rsidRPr="00EC2D11">
        <w:t xml:space="preserve"> sexual exploitation</w:t>
      </w:r>
      <w:r w:rsidR="00A71493" w:rsidRPr="00EC2D11">
        <w:t>, or</w:t>
      </w:r>
      <w:r w:rsidR="00EE432F" w:rsidRPr="00EC2D11">
        <w:t xml:space="preserve"> forced abs</w:t>
      </w:r>
      <w:r w:rsidR="000571C4" w:rsidRPr="00EC2D11">
        <w:t>en</w:t>
      </w:r>
      <w:r w:rsidR="00EE432F" w:rsidRPr="00EC2D11">
        <w:t>ce f</w:t>
      </w:r>
      <w:r w:rsidR="00A71493" w:rsidRPr="00EC2D11">
        <w:t>ro</w:t>
      </w:r>
      <w:r w:rsidR="00EE432F" w:rsidRPr="00EC2D11">
        <w:t xml:space="preserve">m school, among others.  </w:t>
      </w:r>
      <w:r w:rsidR="00B45BFF" w:rsidRPr="00EC2D11">
        <w:t xml:space="preserve">Conversely, </w:t>
      </w:r>
      <w:r w:rsidR="009A2024" w:rsidRPr="00EC2D11">
        <w:t xml:space="preserve">protection advocacy to promote freedom of movement has the potential </w:t>
      </w:r>
      <w:r w:rsidR="00B11DEF" w:rsidRPr="00EC2D11">
        <w:t xml:space="preserve">to </w:t>
      </w:r>
      <w:r w:rsidR="009A2024" w:rsidRPr="00EC2D11">
        <w:t>enabl</w:t>
      </w:r>
      <w:r w:rsidR="00A71493" w:rsidRPr="00EC2D11">
        <w:t>e</w:t>
      </w:r>
      <w:r w:rsidR="009A2024" w:rsidRPr="00EC2D11">
        <w:t xml:space="preserve"> households</w:t>
      </w:r>
      <w:r w:rsidR="00A71493" w:rsidRPr="00EC2D11">
        <w:t>’</w:t>
      </w:r>
      <w:r w:rsidR="009A2024" w:rsidRPr="00EC2D11">
        <w:t xml:space="preserve"> secure access to markets to buy and sell goods and services.</w:t>
      </w:r>
      <w:r w:rsidR="000571C4" w:rsidRPr="00EC2D11">
        <w:t xml:space="preserve"> I</w:t>
      </w:r>
      <w:r w:rsidR="009A2024" w:rsidRPr="00EC2D11">
        <w:t>n the worst</w:t>
      </w:r>
      <w:r w:rsidR="00B11DEF" w:rsidRPr="00EC2D11">
        <w:t>-</w:t>
      </w:r>
      <w:r w:rsidR="009A2024" w:rsidRPr="00EC2D11">
        <w:t>case scenario</w:t>
      </w:r>
      <w:r w:rsidR="000571C4" w:rsidRPr="00EC2D11">
        <w:t>s,</w:t>
      </w:r>
      <w:r w:rsidR="00B45BFF" w:rsidRPr="00EC2D11">
        <w:t xml:space="preserve"> food insecurity </w:t>
      </w:r>
      <w:r w:rsidR="009A2024" w:rsidRPr="00EC2D11">
        <w:t>interventions</w:t>
      </w:r>
      <w:r w:rsidR="00B45BFF" w:rsidRPr="00EC2D11">
        <w:t xml:space="preserve"> </w:t>
      </w:r>
      <w:r w:rsidR="00B11DEF" w:rsidRPr="00EC2D11">
        <w:t>that fail to</w:t>
      </w:r>
      <w:r w:rsidR="009A2024" w:rsidRPr="00EC2D11">
        <w:t xml:space="preserve"> </w:t>
      </w:r>
      <w:proofErr w:type="gramStart"/>
      <w:r w:rsidR="009A2024" w:rsidRPr="00EC2D11">
        <w:t>tak</w:t>
      </w:r>
      <w:r w:rsidR="00B11DEF" w:rsidRPr="00EC2D11">
        <w:t>e</w:t>
      </w:r>
      <w:r w:rsidR="009A2024" w:rsidRPr="00EC2D11">
        <w:t xml:space="preserve"> into account</w:t>
      </w:r>
      <w:proofErr w:type="gramEnd"/>
      <w:r w:rsidR="009A2024" w:rsidRPr="00EC2D11">
        <w:t xml:space="preserve"> the broader</w:t>
      </w:r>
      <w:r w:rsidR="00B45BFF" w:rsidRPr="00EC2D11">
        <w:t xml:space="preserve"> </w:t>
      </w:r>
      <w:r w:rsidR="009A2024" w:rsidRPr="00EC2D11">
        <w:t xml:space="preserve">protection context </w:t>
      </w:r>
      <w:r w:rsidR="00B45BFF" w:rsidRPr="00EC2D11">
        <w:t xml:space="preserve">can overlook – or, at worst, exacerbate </w:t>
      </w:r>
      <w:r w:rsidR="00EA5755" w:rsidRPr="00EC2D11">
        <w:t>–</w:t>
      </w:r>
      <w:r w:rsidR="00B45BFF" w:rsidRPr="00EC2D11">
        <w:t xml:space="preserve"> </w:t>
      </w:r>
      <w:r w:rsidR="00EA5755" w:rsidRPr="00EC2D11">
        <w:t>existing protection risks and create new ones.</w:t>
      </w:r>
    </w:p>
    <w:p w14:paraId="6AADB7B4" w14:textId="0CD61B86" w:rsidR="007038FD" w:rsidRPr="00EC2D11" w:rsidRDefault="007038FD" w:rsidP="007038FD">
      <w:pPr>
        <w:jc w:val="both"/>
      </w:pPr>
      <w:r w:rsidRPr="00EC2D11">
        <w:t>The</w:t>
      </w:r>
      <w:r w:rsidR="00EE432F" w:rsidRPr="00EC2D11">
        <w:t>re is a need, then, for</w:t>
      </w:r>
      <w:r w:rsidR="009041F2" w:rsidRPr="00EC2D11">
        <w:t xml:space="preserve"> </w:t>
      </w:r>
      <w:r w:rsidR="000571C4" w:rsidRPr="00EC2D11">
        <w:t>i</w:t>
      </w:r>
      <w:r w:rsidR="009041F2" w:rsidRPr="00EC2D11">
        <w:t>nteg</w:t>
      </w:r>
      <w:r w:rsidR="008639B8" w:rsidRPr="00EC2D11">
        <w:t>ra</w:t>
      </w:r>
      <w:r w:rsidR="009041F2" w:rsidRPr="00EC2D11">
        <w:t>ted and comprehensive response</w:t>
      </w:r>
      <w:r w:rsidR="000571C4" w:rsidRPr="00EC2D11">
        <w:t>s</w:t>
      </w:r>
      <w:r w:rsidR="009041F2" w:rsidRPr="00EC2D11">
        <w:t xml:space="preserve"> </w:t>
      </w:r>
      <w:r w:rsidR="000571C4" w:rsidRPr="00EC2D11">
        <w:t>to</w:t>
      </w:r>
      <w:r w:rsidR="009041F2" w:rsidRPr="00EC2D11">
        <w:t xml:space="preserve"> the </w:t>
      </w:r>
      <w:r w:rsidR="000571C4" w:rsidRPr="00EC2D11">
        <w:t>interrelationship</w:t>
      </w:r>
      <w:r w:rsidR="009041F2" w:rsidRPr="00EC2D11">
        <w:t xml:space="preserve"> between food </w:t>
      </w:r>
      <w:r w:rsidR="000571C4" w:rsidRPr="00EC2D11">
        <w:t>in</w:t>
      </w:r>
      <w:r w:rsidR="009041F2" w:rsidRPr="00EC2D11">
        <w:t xml:space="preserve">security and the </w:t>
      </w:r>
      <w:r w:rsidR="000571C4" w:rsidRPr="00EC2D11">
        <w:t>broader</w:t>
      </w:r>
      <w:r w:rsidR="009041F2" w:rsidRPr="00EC2D11">
        <w:t xml:space="preserve"> </w:t>
      </w:r>
      <w:r w:rsidR="000571C4" w:rsidRPr="00EC2D11">
        <w:t>security</w:t>
      </w:r>
      <w:r w:rsidR="009041F2" w:rsidRPr="00EC2D11">
        <w:t xml:space="preserve"> </w:t>
      </w:r>
      <w:r w:rsidR="000571C4" w:rsidRPr="00EC2D11">
        <w:t>environment</w:t>
      </w:r>
      <w:r w:rsidR="00EE432F" w:rsidRPr="00EC2D11">
        <w:t>.</w:t>
      </w:r>
      <w:r w:rsidRPr="00EC2D11">
        <w:t xml:space="preserve"> </w:t>
      </w:r>
      <w:proofErr w:type="gramStart"/>
      <w:r w:rsidR="000571C4" w:rsidRPr="00EC2D11">
        <w:t>However</w:t>
      </w:r>
      <w:proofErr w:type="gramEnd"/>
      <w:r w:rsidR="000571C4" w:rsidRPr="00EC2D11">
        <w:t xml:space="preserve"> the f</w:t>
      </w:r>
      <w:r w:rsidRPr="00EC2D11">
        <w:t xml:space="preserve">ood security sector tends to see its mandate stop at </w:t>
      </w:r>
      <w:r w:rsidR="009041F2" w:rsidRPr="00EC2D11">
        <w:t xml:space="preserve">the minimalist standard of </w:t>
      </w:r>
      <w:r w:rsidRPr="00EC2D11">
        <w:t>“do no harm”</w:t>
      </w:r>
      <w:r w:rsidR="00EE432F" w:rsidRPr="00EC2D11">
        <w:t xml:space="preserve"> </w:t>
      </w:r>
      <w:r w:rsidR="009041F2" w:rsidRPr="00EC2D11">
        <w:t xml:space="preserve">- </w:t>
      </w:r>
      <w:r w:rsidR="009A2024" w:rsidRPr="00EC2D11">
        <w:t xml:space="preserve">at </w:t>
      </w:r>
      <w:r w:rsidR="009041F2" w:rsidRPr="00EC2D11">
        <w:t xml:space="preserve">the potential cost of </w:t>
      </w:r>
      <w:r w:rsidR="000571C4" w:rsidRPr="00EC2D11">
        <w:t xml:space="preserve">shaping an </w:t>
      </w:r>
      <w:r w:rsidR="009041F2" w:rsidRPr="00EC2D11">
        <w:t xml:space="preserve">accurate and appropriate response to the full </w:t>
      </w:r>
      <w:r w:rsidR="000571C4" w:rsidRPr="00EC2D11">
        <w:t>spectrum</w:t>
      </w:r>
      <w:r w:rsidR="009041F2" w:rsidRPr="00EC2D11">
        <w:t xml:space="preserve"> of protection concerns</w:t>
      </w:r>
      <w:r w:rsidR="000571C4" w:rsidRPr="00EC2D11">
        <w:t xml:space="preserve"> facing affected populations</w:t>
      </w:r>
      <w:r w:rsidRPr="00EC2D11">
        <w:t xml:space="preserve">. </w:t>
      </w:r>
    </w:p>
    <w:p w14:paraId="256D6263" w14:textId="0CF321DE" w:rsidR="007038FD" w:rsidRPr="00EC2D11" w:rsidRDefault="007038FD" w:rsidP="007038FD">
      <w:pPr>
        <w:jc w:val="both"/>
      </w:pPr>
      <w:r w:rsidRPr="00EC2D11">
        <w:lastRenderedPageBreak/>
        <w:t>This working group suggest to move towards</w:t>
      </w:r>
      <w:r w:rsidR="009041F2" w:rsidRPr="00EC2D11">
        <w:t xml:space="preserve"> more comprehensive,</w:t>
      </w:r>
      <w:r w:rsidRPr="00EC2D11">
        <w:t xml:space="preserve"> integrat</w:t>
      </w:r>
      <w:r w:rsidR="009041F2" w:rsidRPr="00EC2D11">
        <w:t>ed</w:t>
      </w:r>
      <w:r w:rsidR="00E84A57" w:rsidRPr="00EC2D11">
        <w:t xml:space="preserve"> and </w:t>
      </w:r>
      <w:r w:rsidR="009041F2" w:rsidRPr="00EC2D11">
        <w:t>rounded</w:t>
      </w:r>
      <w:r w:rsidR="000571C4" w:rsidRPr="00EC2D11">
        <w:t xml:space="preserve"> -</w:t>
      </w:r>
      <w:r w:rsidR="009041F2" w:rsidRPr="00EC2D11">
        <w:t xml:space="preserve"> and ultimately more effective </w:t>
      </w:r>
      <w:r w:rsidR="00CE6B1C" w:rsidRPr="00EC2D11">
        <w:t>–</w:t>
      </w:r>
      <w:r w:rsidR="000571C4" w:rsidRPr="00EC2D11">
        <w:t xml:space="preserve"> </w:t>
      </w:r>
      <w:r w:rsidR="00CE6B1C" w:rsidRPr="00EC2D11">
        <w:t xml:space="preserve">joint analysis and </w:t>
      </w:r>
      <w:r w:rsidR="009041F2" w:rsidRPr="00EC2D11">
        <w:t>response</w:t>
      </w:r>
      <w:r w:rsidR="00CE6B1C" w:rsidRPr="00EC2D11">
        <w:t xml:space="preserve"> </w:t>
      </w:r>
      <w:proofErr w:type="gramStart"/>
      <w:r w:rsidR="00CE6B1C" w:rsidRPr="00EC2D11">
        <w:t>programming</w:t>
      </w:r>
      <w:r w:rsidR="009041F2" w:rsidRPr="00EC2D11">
        <w:t xml:space="preserve"> </w:t>
      </w:r>
      <w:r w:rsidRPr="00EC2D11">
        <w:t>.</w:t>
      </w:r>
      <w:proofErr w:type="gramEnd"/>
      <w:r w:rsidRPr="00EC2D11">
        <w:t xml:space="preserve">  This approach refers to food security work that aims to prevent and respond to violence or threat of violence; coercion and exploitation; deliberate deprivation, </w:t>
      </w:r>
      <w:proofErr w:type="gramStart"/>
      <w:r w:rsidRPr="00EC2D11">
        <w:t>neglect</w:t>
      </w:r>
      <w:proofErr w:type="gramEnd"/>
      <w:r w:rsidRPr="00EC2D11">
        <w:t xml:space="preserve"> or discrimination</w:t>
      </w:r>
      <w:r w:rsidR="00E84A57" w:rsidRPr="00EC2D11">
        <w:t>; and coping mechanisms.</w:t>
      </w:r>
    </w:p>
    <w:p w14:paraId="70643C50" w14:textId="77777777" w:rsidR="005C10EF" w:rsidRPr="00EC2D11" w:rsidRDefault="005C10EF" w:rsidP="007038FD">
      <w:pPr>
        <w:jc w:val="both"/>
      </w:pPr>
    </w:p>
    <w:p w14:paraId="506ACCC9" w14:textId="77777777" w:rsidR="005C10EF" w:rsidRPr="00EC2D11" w:rsidRDefault="005C10EF" w:rsidP="007038FD">
      <w:pPr>
        <w:jc w:val="both"/>
        <w:rPr>
          <w:b/>
          <w:bCs/>
        </w:rPr>
      </w:pPr>
      <w:r w:rsidRPr="00EC2D11">
        <w:rPr>
          <w:b/>
          <w:bCs/>
        </w:rPr>
        <w:t xml:space="preserve">Incentives:  </w:t>
      </w:r>
    </w:p>
    <w:p w14:paraId="2C3F2173" w14:textId="1614D6E7" w:rsidR="005C10EF" w:rsidRPr="00EC2D11" w:rsidRDefault="005C10EF" w:rsidP="005C10EF">
      <w:pPr>
        <w:pStyle w:val="ListParagraph"/>
        <w:numPr>
          <w:ilvl w:val="0"/>
          <w:numId w:val="1"/>
        </w:numPr>
        <w:jc w:val="both"/>
      </w:pPr>
      <w:r w:rsidRPr="00EC2D11">
        <w:t>This approach will help operationalise the Centrality of Protection in a concrete</w:t>
      </w:r>
      <w:r w:rsidR="00B11DEF" w:rsidRPr="00EC2D11">
        <w:t>,</w:t>
      </w:r>
      <w:r w:rsidRPr="00EC2D11">
        <w:t xml:space="preserve"> tangible way</w:t>
      </w:r>
      <w:r w:rsidR="00B11DEF" w:rsidRPr="00EC2D11">
        <w:t xml:space="preserve">, </w:t>
      </w:r>
      <w:r w:rsidR="000571C4" w:rsidRPr="00EC2D11">
        <w:t xml:space="preserve">helping better establish the inter-relationship between food insecurity and the broader protection </w:t>
      </w:r>
      <w:proofErr w:type="gramStart"/>
      <w:r w:rsidR="000571C4" w:rsidRPr="00EC2D11">
        <w:t>environment;</w:t>
      </w:r>
      <w:proofErr w:type="gramEnd"/>
    </w:p>
    <w:p w14:paraId="0CF2F7DF" w14:textId="21B72573" w:rsidR="005C10EF" w:rsidRPr="00EC2D11" w:rsidRDefault="005C10EF" w:rsidP="005C10EF">
      <w:pPr>
        <w:pStyle w:val="ListParagraph"/>
        <w:numPr>
          <w:ilvl w:val="0"/>
          <w:numId w:val="1"/>
        </w:numPr>
        <w:jc w:val="both"/>
      </w:pPr>
      <w:r w:rsidRPr="00EC2D11">
        <w:t>This proposal can be a way to maximise efficiencies and increase funding for</w:t>
      </w:r>
      <w:r w:rsidR="000571C4" w:rsidRPr="00EC2D11">
        <w:t xml:space="preserve"> </w:t>
      </w:r>
      <w:r w:rsidR="00CE6B1C" w:rsidRPr="00EC2D11">
        <w:t xml:space="preserve">joint </w:t>
      </w:r>
      <w:r w:rsidRPr="00EC2D11">
        <w:t xml:space="preserve">protection </w:t>
      </w:r>
      <w:r w:rsidR="00C369CE" w:rsidRPr="00EC2D11">
        <w:t>and food security outcomes</w:t>
      </w:r>
      <w:r w:rsidR="00A71493" w:rsidRPr="00EC2D11">
        <w:t>, who remain underfunded</w:t>
      </w:r>
      <w:r w:rsidR="000571C4" w:rsidRPr="00EC2D11">
        <w:t>.</w:t>
      </w:r>
    </w:p>
    <w:p w14:paraId="601BD73D" w14:textId="77777777" w:rsidR="007038FD" w:rsidRPr="00EC2D11" w:rsidRDefault="007038FD"/>
    <w:p w14:paraId="271D25F7" w14:textId="77777777" w:rsidR="007038FD" w:rsidRPr="00EC2D11" w:rsidRDefault="005C10EF">
      <w:pPr>
        <w:rPr>
          <w:b/>
          <w:bCs/>
        </w:rPr>
      </w:pPr>
      <w:r w:rsidRPr="00EC2D11">
        <w:rPr>
          <w:b/>
          <w:bCs/>
        </w:rPr>
        <w:t>As a collective, we propose to:</w:t>
      </w:r>
    </w:p>
    <w:p w14:paraId="2446304D" w14:textId="360226AC" w:rsidR="005C10EF" w:rsidRPr="00EC2D11" w:rsidRDefault="007038FD" w:rsidP="008639B8">
      <w:pPr>
        <w:pStyle w:val="ListParagraph"/>
        <w:numPr>
          <w:ilvl w:val="0"/>
          <w:numId w:val="2"/>
        </w:numPr>
        <w:jc w:val="both"/>
      </w:pPr>
      <w:r w:rsidRPr="00EC2D11">
        <w:t>Provid</w:t>
      </w:r>
      <w:r w:rsidR="001F4556" w:rsidRPr="00EC2D11">
        <w:t>e</w:t>
      </w:r>
      <w:r w:rsidRPr="00EC2D11">
        <w:t xml:space="preserve"> a framework for improved context analysis</w:t>
      </w:r>
      <w:r w:rsidR="00BC75E2" w:rsidRPr="00EC2D11">
        <w:t xml:space="preserve"> -including conflict sensitivity analysis-</w:t>
      </w:r>
      <w:r w:rsidRPr="00EC2D11">
        <w:t xml:space="preserve"> that </w:t>
      </w:r>
      <w:proofErr w:type="gramStart"/>
      <w:r w:rsidR="000571C4" w:rsidRPr="00EC2D11">
        <w:t>takes into account</w:t>
      </w:r>
      <w:proofErr w:type="gramEnd"/>
      <w:r w:rsidR="000571C4" w:rsidRPr="00EC2D11">
        <w:t xml:space="preserve"> </w:t>
      </w:r>
      <w:r w:rsidRPr="00EC2D11">
        <w:t>threats</w:t>
      </w:r>
      <w:r w:rsidR="000571C4" w:rsidRPr="00EC2D11">
        <w:t xml:space="preserve">, </w:t>
      </w:r>
      <w:r w:rsidRPr="00EC2D11">
        <w:t>needs, vulnerabilities and capacities of populations</w:t>
      </w:r>
      <w:r w:rsidR="00E84A57" w:rsidRPr="00EC2D11">
        <w:t xml:space="preserve">, in </w:t>
      </w:r>
      <w:r w:rsidR="000571C4" w:rsidRPr="00EC2D11">
        <w:t>conjunction</w:t>
      </w:r>
      <w:r w:rsidR="00E84A57" w:rsidRPr="00EC2D11">
        <w:t xml:space="preserve"> with </w:t>
      </w:r>
      <w:r w:rsidR="000571C4" w:rsidRPr="00EC2D11">
        <w:t>coping</w:t>
      </w:r>
      <w:r w:rsidR="00E84A57" w:rsidRPr="00EC2D11">
        <w:t xml:space="preserve"> m</w:t>
      </w:r>
      <w:r w:rsidR="000571C4" w:rsidRPr="00EC2D11">
        <w:t>e</w:t>
      </w:r>
      <w:r w:rsidR="00E84A57" w:rsidRPr="00EC2D11">
        <w:t>chanisms resorted to as a means of obtaining food</w:t>
      </w:r>
      <w:r w:rsidR="000571C4" w:rsidRPr="00EC2D11">
        <w:t xml:space="preserve">. One benefit of </w:t>
      </w:r>
      <w:r w:rsidR="00B11DEF" w:rsidRPr="00EC2D11">
        <w:t xml:space="preserve">this approach </w:t>
      </w:r>
      <w:r w:rsidR="000571C4" w:rsidRPr="00EC2D11">
        <w:t>is the potential to help break down</w:t>
      </w:r>
      <w:r w:rsidR="00B11DEF" w:rsidRPr="00EC2D11">
        <w:t xml:space="preserve"> siloes </w:t>
      </w:r>
      <w:r w:rsidR="000571C4" w:rsidRPr="00EC2D11">
        <w:t>and the constrains of mandates, thereby helping</w:t>
      </w:r>
      <w:r w:rsidR="00B11DEF" w:rsidRPr="00EC2D11">
        <w:t xml:space="preserve"> ensur</w:t>
      </w:r>
      <w:r w:rsidR="000571C4" w:rsidRPr="00EC2D11">
        <w:t>e</w:t>
      </w:r>
      <w:r w:rsidR="00B11DEF" w:rsidRPr="00EC2D11">
        <w:t xml:space="preserve"> </w:t>
      </w:r>
      <w:r w:rsidR="000571C4" w:rsidRPr="00EC2D11">
        <w:t>complementarity</w:t>
      </w:r>
      <w:r w:rsidR="00B11DEF" w:rsidRPr="00EC2D11">
        <w:t xml:space="preserve"> and </w:t>
      </w:r>
      <w:r w:rsidR="000571C4" w:rsidRPr="00EC2D11">
        <w:t>operational</w:t>
      </w:r>
      <w:r w:rsidR="00B11DEF" w:rsidRPr="00EC2D11">
        <w:t xml:space="preserve"> harmonis</w:t>
      </w:r>
      <w:r w:rsidR="000571C4" w:rsidRPr="00EC2D11">
        <w:t>ation</w:t>
      </w:r>
      <w:r w:rsidR="00B11DEF" w:rsidRPr="00EC2D11">
        <w:t>.</w:t>
      </w:r>
    </w:p>
    <w:p w14:paraId="33B7BCF6" w14:textId="77777777" w:rsidR="005C10EF" w:rsidRPr="00EC2D11" w:rsidRDefault="007038FD" w:rsidP="005C10EF">
      <w:pPr>
        <w:pStyle w:val="ListParagraph"/>
        <w:numPr>
          <w:ilvl w:val="0"/>
          <w:numId w:val="2"/>
        </w:numPr>
      </w:pPr>
      <w:r w:rsidRPr="00EC2D11">
        <w:t xml:space="preserve">Offer guidance for programme design, indicator formulation, and monitoring for integrated food assistance and protection </w:t>
      </w:r>
      <w:proofErr w:type="gramStart"/>
      <w:r w:rsidRPr="00EC2D11">
        <w:t>programming;</w:t>
      </w:r>
      <w:proofErr w:type="gramEnd"/>
      <w:r w:rsidRPr="00EC2D11">
        <w:t xml:space="preserve"> </w:t>
      </w:r>
    </w:p>
    <w:p w14:paraId="5ED64288" w14:textId="082ECBB6" w:rsidR="000F330C" w:rsidRPr="00EC2D11" w:rsidRDefault="007038FD" w:rsidP="005C10EF">
      <w:pPr>
        <w:pStyle w:val="ListParagraph"/>
        <w:numPr>
          <w:ilvl w:val="0"/>
          <w:numId w:val="2"/>
        </w:numPr>
      </w:pPr>
      <w:r w:rsidRPr="00EC2D11">
        <w:t>Strengthen the synergies and complementarities between assistance and advocacy.</w:t>
      </w:r>
    </w:p>
    <w:p w14:paraId="0DB18B1A" w14:textId="093DDEB5" w:rsidR="009A2024" w:rsidRPr="00EC2D11" w:rsidRDefault="00E84A57" w:rsidP="005C10EF">
      <w:pPr>
        <w:pStyle w:val="ListParagraph"/>
        <w:numPr>
          <w:ilvl w:val="0"/>
          <w:numId w:val="2"/>
        </w:numPr>
      </w:pPr>
      <w:r w:rsidRPr="00EC2D11">
        <w:t>Promote an</w:t>
      </w:r>
      <w:r w:rsidR="000571C4" w:rsidRPr="00EC2D11">
        <w:t>a</w:t>
      </w:r>
      <w:r w:rsidRPr="00EC2D11">
        <w:t xml:space="preserve">lysis that integrates </w:t>
      </w:r>
      <w:r w:rsidR="009041F2" w:rsidRPr="00EC2D11">
        <w:t xml:space="preserve">responses </w:t>
      </w:r>
      <w:r w:rsidR="000571C4" w:rsidRPr="00EC2D11">
        <w:t>to</w:t>
      </w:r>
      <w:r w:rsidR="009041F2" w:rsidRPr="00EC2D11">
        <w:t xml:space="preserve"> food insecurity within</w:t>
      </w:r>
      <w:r w:rsidR="000571C4" w:rsidRPr="00EC2D11">
        <w:t xml:space="preserve"> the context of</w:t>
      </w:r>
      <w:r w:rsidR="009041F2" w:rsidRPr="00EC2D11">
        <w:t xml:space="preserve"> a larger and more compreh</w:t>
      </w:r>
      <w:r w:rsidR="000571C4" w:rsidRPr="00EC2D11">
        <w:t>en</w:t>
      </w:r>
      <w:r w:rsidR="009041F2" w:rsidRPr="00EC2D11">
        <w:t xml:space="preserve">sive protection </w:t>
      </w:r>
      <w:r w:rsidR="000571C4" w:rsidRPr="00EC2D11">
        <w:t>response</w:t>
      </w:r>
      <w:r w:rsidR="009041F2" w:rsidRPr="00EC2D11">
        <w:t xml:space="preserve">, taking full account </w:t>
      </w:r>
      <w:r w:rsidR="000571C4" w:rsidRPr="00EC2D11">
        <w:t>of the whole spectrum of</w:t>
      </w:r>
      <w:r w:rsidR="009041F2" w:rsidRPr="00EC2D11">
        <w:t xml:space="preserve"> costs and risks </w:t>
      </w:r>
      <w:r w:rsidR="000571C4" w:rsidRPr="00EC2D11">
        <w:t>to affected populations</w:t>
      </w:r>
      <w:r w:rsidR="00BC75E2" w:rsidRPr="00EC2D11">
        <w:t>.</w:t>
      </w:r>
    </w:p>
    <w:p w14:paraId="0649C2F0" w14:textId="6895F33A" w:rsidR="00E84A57" w:rsidRPr="00EC2D11" w:rsidRDefault="00E84A57" w:rsidP="00C369CE"/>
    <w:p w14:paraId="5BA0F0B4" w14:textId="10C358D2" w:rsidR="00C369CE" w:rsidRPr="00EC2D11" w:rsidRDefault="00C369CE" w:rsidP="00C369CE">
      <w:pPr>
        <w:rPr>
          <w:b/>
          <w:bCs/>
        </w:rPr>
      </w:pPr>
      <w:r w:rsidRPr="00EC2D11">
        <w:rPr>
          <w:b/>
          <w:bCs/>
        </w:rPr>
        <w:t>Synergies and collaboration with other IAWG workstreams:</w:t>
      </w:r>
    </w:p>
    <w:p w14:paraId="592F8A19" w14:textId="227C877D" w:rsidR="00C369CE" w:rsidRPr="00EC2D11" w:rsidRDefault="00C369CE" w:rsidP="00C369CE">
      <w:r w:rsidRPr="00EC2D11">
        <w:t>. GBV risk reduction</w:t>
      </w:r>
    </w:p>
    <w:p w14:paraId="31333A65" w14:textId="55D8F9A3" w:rsidR="00C369CE" w:rsidRPr="00EC2D11" w:rsidRDefault="00C369CE" w:rsidP="00C369CE">
      <w:r w:rsidRPr="00EC2D11">
        <w:t>. Disability and ageing inclusion</w:t>
      </w:r>
    </w:p>
    <w:p w14:paraId="7FEDC45E" w14:textId="17743CF2" w:rsidR="00C369CE" w:rsidRPr="00EC2D11" w:rsidRDefault="00C369CE" w:rsidP="00C369CE">
      <w:r w:rsidRPr="00EC2D11">
        <w:t>. MHPSS</w:t>
      </w:r>
    </w:p>
    <w:p w14:paraId="6152CD34" w14:textId="3AC9F816" w:rsidR="00C369CE" w:rsidRPr="00EC2D11" w:rsidRDefault="00C369CE" w:rsidP="00C369CE">
      <w:r w:rsidRPr="00EC2D11">
        <w:t>. C2A for Human Rights and HPC</w:t>
      </w:r>
    </w:p>
    <w:p w14:paraId="03B4FA12" w14:textId="09F84614" w:rsidR="00C369CE" w:rsidRPr="00EC2D11" w:rsidRDefault="008340C6" w:rsidP="00C369CE">
      <w:pPr>
        <w:rPr>
          <w:b/>
          <w:bCs/>
        </w:rPr>
      </w:pPr>
      <w:r w:rsidRPr="00EC2D11">
        <w:rPr>
          <w:b/>
          <w:bCs/>
        </w:rPr>
        <w:t>Key tools and resources:</w:t>
      </w:r>
    </w:p>
    <w:p w14:paraId="14A532CD" w14:textId="4FB871DB" w:rsidR="008340C6" w:rsidRPr="00641B22" w:rsidRDefault="008340C6" w:rsidP="00C369CE">
      <w:pPr>
        <w:rPr>
          <w:color w:val="FF0000"/>
        </w:rPr>
      </w:pPr>
      <w:r w:rsidRPr="00641B22">
        <w:rPr>
          <w:color w:val="FF0000"/>
        </w:rPr>
        <w:t>WFP handbook</w:t>
      </w:r>
      <w:r w:rsidR="00641B22">
        <w:rPr>
          <w:color w:val="FF0000"/>
        </w:rPr>
        <w:t>: Link?</w:t>
      </w:r>
    </w:p>
    <w:p w14:paraId="4CCE98D0" w14:textId="1EEB36A7" w:rsidR="008340C6" w:rsidRPr="008340C6" w:rsidRDefault="00641B22" w:rsidP="008340C6">
      <w:pPr>
        <w:numPr>
          <w:ilvl w:val="0"/>
          <w:numId w:val="5"/>
        </w:numPr>
        <w:ind w:right="-613"/>
        <w:contextualSpacing/>
        <w:rPr>
          <w:rFonts w:eastAsiaTheme="minorEastAsia"/>
        </w:rPr>
      </w:pPr>
      <w:hyperlink r:id="rId6">
        <w:r w:rsidR="008340C6" w:rsidRPr="008340C6">
          <w:rPr>
            <w:u w:val="single"/>
          </w:rPr>
          <w:t>Protection Analytical Framework</w:t>
        </w:r>
      </w:hyperlink>
      <w:r w:rsidR="008340C6" w:rsidRPr="008340C6">
        <w:t xml:space="preserve"> developed through</w:t>
      </w:r>
      <w:r w:rsidR="008340C6" w:rsidRPr="00EC2D11">
        <w:t xml:space="preserve"> the </w:t>
      </w:r>
      <w:r w:rsidR="008340C6" w:rsidRPr="008340C6">
        <w:t>Global Protection Cluster</w:t>
      </w:r>
    </w:p>
    <w:p w14:paraId="2CC94904" w14:textId="77777777" w:rsidR="008340C6" w:rsidRPr="008340C6" w:rsidRDefault="00641B22" w:rsidP="008340C6">
      <w:pPr>
        <w:numPr>
          <w:ilvl w:val="0"/>
          <w:numId w:val="5"/>
        </w:numPr>
        <w:ind w:right="-613"/>
        <w:contextualSpacing/>
        <w:rPr>
          <w:rFonts w:eastAsiaTheme="minorEastAsia"/>
        </w:rPr>
      </w:pPr>
      <w:hyperlink r:id="rId7" w:history="1">
        <w:r w:rsidR="008340C6" w:rsidRPr="008340C6">
          <w:rPr>
            <w:u w:val="single"/>
          </w:rPr>
          <w:t xml:space="preserve">Global Protection Cluster HPC </w:t>
        </w:r>
        <w:r w:rsidR="008340C6" w:rsidRPr="008340C6">
          <w:rPr>
            <w:rFonts w:eastAsiaTheme="minorEastAsia"/>
            <w:u w:val="single"/>
          </w:rPr>
          <w:t>Guidance</w:t>
        </w:r>
      </w:hyperlink>
      <w:r w:rsidR="008340C6" w:rsidRPr="008340C6">
        <w:rPr>
          <w:rFonts w:eastAsiaTheme="minorEastAsia"/>
        </w:rPr>
        <w:t xml:space="preserve"> </w:t>
      </w:r>
    </w:p>
    <w:p w14:paraId="31D6E559" w14:textId="0600FE33" w:rsidR="008340C6" w:rsidRPr="00EC2D11" w:rsidRDefault="008340C6" w:rsidP="00C369CE"/>
    <w:p w14:paraId="6F24A651" w14:textId="409C60FC" w:rsidR="008340C6" w:rsidRPr="00EC2D11" w:rsidRDefault="008340C6" w:rsidP="00C369CE"/>
    <w:p w14:paraId="4A4185DA" w14:textId="4EB8E206" w:rsidR="008340C6" w:rsidRPr="00EC2D11" w:rsidRDefault="008340C6" w:rsidP="00C369CE"/>
    <w:p w14:paraId="25C3D440" w14:textId="64B26D72" w:rsidR="008340C6" w:rsidRPr="00EC2D11" w:rsidRDefault="008340C6" w:rsidP="00C369CE"/>
    <w:p w14:paraId="7EB0885D" w14:textId="76C964B0" w:rsidR="008340C6" w:rsidRPr="00EC2D11" w:rsidRDefault="008340C6" w:rsidP="00C369CE">
      <w:pPr>
        <w:rPr>
          <w:b/>
          <w:bCs/>
        </w:rPr>
      </w:pPr>
      <w:r w:rsidRPr="00EC2D11">
        <w:rPr>
          <w:b/>
          <w:bCs/>
        </w:rPr>
        <w:lastRenderedPageBreak/>
        <w:t>Workplan</w:t>
      </w:r>
    </w:p>
    <w:p w14:paraId="2728AC33" w14:textId="5E62E888" w:rsidR="008340C6" w:rsidRPr="00EC2D11" w:rsidRDefault="008340C6" w:rsidP="00C369CE">
      <w:pPr>
        <w:rPr>
          <w:b/>
          <w:bCs/>
        </w:rPr>
      </w:pPr>
    </w:p>
    <w:tbl>
      <w:tblPr>
        <w:tblStyle w:val="ListTable6Colorful-Accent4"/>
        <w:tblW w:w="0" w:type="auto"/>
        <w:tblLook w:val="04A0" w:firstRow="1" w:lastRow="0" w:firstColumn="1" w:lastColumn="0" w:noHBand="0" w:noVBand="1"/>
      </w:tblPr>
      <w:tblGrid>
        <w:gridCol w:w="4248"/>
        <w:gridCol w:w="992"/>
        <w:gridCol w:w="1134"/>
        <w:gridCol w:w="1134"/>
        <w:gridCol w:w="851"/>
      </w:tblGrid>
      <w:tr w:rsidR="00EC2D11" w:rsidRPr="00EC2D11" w14:paraId="271404D7" w14:textId="77777777" w:rsidTr="00BC7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F306EA0" w14:textId="132CF4B9" w:rsidR="008340C6" w:rsidRPr="00EC2D11" w:rsidRDefault="008340C6" w:rsidP="00C369CE">
            <w:pPr>
              <w:rPr>
                <w:b w:val="0"/>
                <w:bCs w:val="0"/>
                <w:color w:val="auto"/>
              </w:rPr>
            </w:pPr>
            <w:r w:rsidRPr="00EC2D11">
              <w:rPr>
                <w:b w:val="0"/>
                <w:bCs w:val="0"/>
                <w:color w:val="auto"/>
              </w:rPr>
              <w:t>Action</w:t>
            </w:r>
          </w:p>
        </w:tc>
        <w:tc>
          <w:tcPr>
            <w:tcW w:w="992" w:type="dxa"/>
          </w:tcPr>
          <w:p w14:paraId="0010DAD4" w14:textId="02AD1B28" w:rsidR="008340C6" w:rsidRPr="00EC2D11" w:rsidRDefault="008340C6" w:rsidP="00BC75E2">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C2D11">
              <w:rPr>
                <w:b w:val="0"/>
                <w:bCs w:val="0"/>
                <w:color w:val="auto"/>
              </w:rPr>
              <w:t>Q1</w:t>
            </w:r>
          </w:p>
        </w:tc>
        <w:tc>
          <w:tcPr>
            <w:tcW w:w="1134" w:type="dxa"/>
          </w:tcPr>
          <w:p w14:paraId="21A79D4E" w14:textId="75EAA12C" w:rsidR="008340C6" w:rsidRPr="00EC2D11" w:rsidRDefault="008340C6" w:rsidP="00BC75E2">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C2D11">
              <w:rPr>
                <w:b w:val="0"/>
                <w:bCs w:val="0"/>
                <w:color w:val="auto"/>
              </w:rPr>
              <w:t>Q2</w:t>
            </w:r>
          </w:p>
        </w:tc>
        <w:tc>
          <w:tcPr>
            <w:tcW w:w="1134" w:type="dxa"/>
          </w:tcPr>
          <w:p w14:paraId="364A8C35" w14:textId="46422AE9" w:rsidR="008340C6" w:rsidRPr="00EC2D11" w:rsidRDefault="008340C6" w:rsidP="00BC75E2">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C2D11">
              <w:rPr>
                <w:b w:val="0"/>
                <w:bCs w:val="0"/>
                <w:color w:val="auto"/>
              </w:rPr>
              <w:t>Q3</w:t>
            </w:r>
          </w:p>
        </w:tc>
        <w:tc>
          <w:tcPr>
            <w:tcW w:w="851" w:type="dxa"/>
          </w:tcPr>
          <w:p w14:paraId="64F1B0AF" w14:textId="6A1F44E2" w:rsidR="008340C6" w:rsidRPr="00EC2D11" w:rsidRDefault="008340C6" w:rsidP="00BC75E2">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EC2D11">
              <w:rPr>
                <w:b w:val="0"/>
                <w:bCs w:val="0"/>
                <w:color w:val="auto"/>
              </w:rPr>
              <w:t>Q4</w:t>
            </w:r>
          </w:p>
        </w:tc>
      </w:tr>
      <w:tr w:rsidR="00EC2D11" w:rsidRPr="00EC2D11" w14:paraId="2029C089" w14:textId="77777777" w:rsidTr="00BC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60A68B9" w14:textId="4F55360E" w:rsidR="008340C6" w:rsidRPr="00EC2D11" w:rsidRDefault="008340C6" w:rsidP="00C369CE">
            <w:pPr>
              <w:rPr>
                <w:b w:val="0"/>
                <w:bCs w:val="0"/>
                <w:color w:val="auto"/>
              </w:rPr>
            </w:pPr>
            <w:r w:rsidRPr="00EC2D11">
              <w:rPr>
                <w:b w:val="0"/>
                <w:bCs w:val="0"/>
                <w:color w:val="auto"/>
              </w:rPr>
              <w:t>Context analysis Framework</w:t>
            </w:r>
          </w:p>
        </w:tc>
        <w:tc>
          <w:tcPr>
            <w:tcW w:w="992" w:type="dxa"/>
            <w:shd w:val="clear" w:color="auto" w:fill="F4B083" w:themeFill="accent2" w:themeFillTint="99"/>
          </w:tcPr>
          <w:p w14:paraId="18605907"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c>
          <w:tcPr>
            <w:tcW w:w="1134" w:type="dxa"/>
          </w:tcPr>
          <w:p w14:paraId="43441086"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c>
          <w:tcPr>
            <w:tcW w:w="1134" w:type="dxa"/>
          </w:tcPr>
          <w:p w14:paraId="253ABA40"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c>
          <w:tcPr>
            <w:tcW w:w="851" w:type="dxa"/>
          </w:tcPr>
          <w:p w14:paraId="5907ED5C"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r>
      <w:tr w:rsidR="00EC2D11" w:rsidRPr="00EC2D11" w14:paraId="3FF50509" w14:textId="77777777" w:rsidTr="00BC75E2">
        <w:tc>
          <w:tcPr>
            <w:cnfStyle w:val="001000000000" w:firstRow="0" w:lastRow="0" w:firstColumn="1" w:lastColumn="0" w:oddVBand="0" w:evenVBand="0" w:oddHBand="0" w:evenHBand="0" w:firstRowFirstColumn="0" w:firstRowLastColumn="0" w:lastRowFirstColumn="0" w:lastRowLastColumn="0"/>
            <w:tcW w:w="4248" w:type="dxa"/>
          </w:tcPr>
          <w:p w14:paraId="40AF11FC" w14:textId="3CE50675" w:rsidR="008340C6" w:rsidRPr="00EC2D11" w:rsidRDefault="00BC75E2" w:rsidP="00C369CE">
            <w:pPr>
              <w:rPr>
                <w:b w:val="0"/>
                <w:bCs w:val="0"/>
                <w:color w:val="auto"/>
              </w:rPr>
            </w:pPr>
            <w:r w:rsidRPr="00EC2D11">
              <w:rPr>
                <w:b w:val="0"/>
                <w:bCs w:val="0"/>
                <w:color w:val="auto"/>
              </w:rPr>
              <w:t>Programme design guidance</w:t>
            </w:r>
          </w:p>
        </w:tc>
        <w:tc>
          <w:tcPr>
            <w:tcW w:w="992" w:type="dxa"/>
            <w:shd w:val="clear" w:color="auto" w:fill="F4B083" w:themeFill="accent2" w:themeFillTint="99"/>
          </w:tcPr>
          <w:p w14:paraId="1751C8AA"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c>
          <w:tcPr>
            <w:tcW w:w="1134" w:type="dxa"/>
          </w:tcPr>
          <w:p w14:paraId="378BEC9D"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c>
          <w:tcPr>
            <w:tcW w:w="1134" w:type="dxa"/>
          </w:tcPr>
          <w:p w14:paraId="0E01081F"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c>
          <w:tcPr>
            <w:tcW w:w="851" w:type="dxa"/>
          </w:tcPr>
          <w:p w14:paraId="58A152DE"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r>
      <w:tr w:rsidR="00EC2D11" w:rsidRPr="00EC2D11" w14:paraId="59E343FF" w14:textId="77777777" w:rsidTr="00BC7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CCC00A3" w14:textId="11C42D9F" w:rsidR="008340C6" w:rsidRPr="00EC2D11" w:rsidRDefault="00BC75E2" w:rsidP="00C369CE">
            <w:pPr>
              <w:rPr>
                <w:b w:val="0"/>
                <w:bCs w:val="0"/>
                <w:color w:val="auto"/>
              </w:rPr>
            </w:pPr>
            <w:r w:rsidRPr="00EC2D11">
              <w:rPr>
                <w:b w:val="0"/>
                <w:bCs w:val="0"/>
                <w:color w:val="auto"/>
              </w:rPr>
              <w:t>Advocacy guidance</w:t>
            </w:r>
          </w:p>
        </w:tc>
        <w:tc>
          <w:tcPr>
            <w:tcW w:w="992" w:type="dxa"/>
          </w:tcPr>
          <w:p w14:paraId="3941683F"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c>
          <w:tcPr>
            <w:tcW w:w="1134" w:type="dxa"/>
            <w:shd w:val="clear" w:color="auto" w:fill="F4B083" w:themeFill="accent2" w:themeFillTint="99"/>
          </w:tcPr>
          <w:p w14:paraId="1D491C9E"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c>
          <w:tcPr>
            <w:tcW w:w="1134" w:type="dxa"/>
          </w:tcPr>
          <w:p w14:paraId="18DBAA2D"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c>
          <w:tcPr>
            <w:tcW w:w="851" w:type="dxa"/>
          </w:tcPr>
          <w:p w14:paraId="3E1C2C7B" w14:textId="77777777" w:rsidR="008340C6" w:rsidRPr="00EC2D11" w:rsidRDefault="008340C6" w:rsidP="00C369CE">
            <w:pPr>
              <w:cnfStyle w:val="000000100000" w:firstRow="0" w:lastRow="0" w:firstColumn="0" w:lastColumn="0" w:oddVBand="0" w:evenVBand="0" w:oddHBand="1" w:evenHBand="0" w:firstRowFirstColumn="0" w:firstRowLastColumn="0" w:lastRowFirstColumn="0" w:lastRowLastColumn="0"/>
              <w:rPr>
                <w:b/>
                <w:bCs/>
                <w:color w:val="auto"/>
              </w:rPr>
            </w:pPr>
          </w:p>
        </w:tc>
      </w:tr>
      <w:tr w:rsidR="00EC2D11" w:rsidRPr="00EC2D11" w14:paraId="139D628D" w14:textId="77777777" w:rsidTr="00BC75E2">
        <w:tc>
          <w:tcPr>
            <w:cnfStyle w:val="001000000000" w:firstRow="0" w:lastRow="0" w:firstColumn="1" w:lastColumn="0" w:oddVBand="0" w:evenVBand="0" w:oddHBand="0" w:evenHBand="0" w:firstRowFirstColumn="0" w:firstRowLastColumn="0" w:lastRowFirstColumn="0" w:lastRowLastColumn="0"/>
            <w:tcW w:w="4248" w:type="dxa"/>
          </w:tcPr>
          <w:p w14:paraId="7EB47B41" w14:textId="1D008099" w:rsidR="008340C6" w:rsidRPr="00EC2D11" w:rsidRDefault="00BC75E2" w:rsidP="00C369CE">
            <w:pPr>
              <w:rPr>
                <w:b w:val="0"/>
                <w:bCs w:val="0"/>
                <w:color w:val="auto"/>
              </w:rPr>
            </w:pPr>
            <w:r w:rsidRPr="00EC2D11">
              <w:rPr>
                <w:b w:val="0"/>
                <w:bCs w:val="0"/>
                <w:color w:val="auto"/>
              </w:rPr>
              <w:t>Country operations joint analysis roll out</w:t>
            </w:r>
          </w:p>
        </w:tc>
        <w:tc>
          <w:tcPr>
            <w:tcW w:w="992" w:type="dxa"/>
          </w:tcPr>
          <w:p w14:paraId="6CE962D9"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c>
          <w:tcPr>
            <w:tcW w:w="1134" w:type="dxa"/>
            <w:shd w:val="clear" w:color="auto" w:fill="F4B083" w:themeFill="accent2" w:themeFillTint="99"/>
          </w:tcPr>
          <w:p w14:paraId="508210F2"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c>
          <w:tcPr>
            <w:tcW w:w="1134" w:type="dxa"/>
            <w:shd w:val="clear" w:color="auto" w:fill="F4B083" w:themeFill="accent2" w:themeFillTint="99"/>
          </w:tcPr>
          <w:p w14:paraId="28D10655"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c>
          <w:tcPr>
            <w:tcW w:w="851" w:type="dxa"/>
            <w:shd w:val="clear" w:color="auto" w:fill="F4B083" w:themeFill="accent2" w:themeFillTint="99"/>
          </w:tcPr>
          <w:p w14:paraId="75ECAC5D" w14:textId="77777777" w:rsidR="008340C6" w:rsidRPr="00EC2D11" w:rsidRDefault="008340C6" w:rsidP="00C369CE">
            <w:pPr>
              <w:cnfStyle w:val="000000000000" w:firstRow="0" w:lastRow="0" w:firstColumn="0" w:lastColumn="0" w:oddVBand="0" w:evenVBand="0" w:oddHBand="0" w:evenHBand="0" w:firstRowFirstColumn="0" w:firstRowLastColumn="0" w:lastRowFirstColumn="0" w:lastRowLastColumn="0"/>
              <w:rPr>
                <w:b/>
                <w:bCs/>
                <w:color w:val="auto"/>
              </w:rPr>
            </w:pPr>
          </w:p>
        </w:tc>
      </w:tr>
    </w:tbl>
    <w:p w14:paraId="137F989A" w14:textId="77777777" w:rsidR="008340C6" w:rsidRPr="00EC2D11" w:rsidRDefault="008340C6" w:rsidP="00C369CE">
      <w:pPr>
        <w:rPr>
          <w:b/>
          <w:bCs/>
        </w:rPr>
      </w:pPr>
    </w:p>
    <w:sectPr w:rsidR="008340C6" w:rsidRPr="00EC2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76AA1"/>
    <w:multiLevelType w:val="hybridMultilevel"/>
    <w:tmpl w:val="CD466A90"/>
    <w:lvl w:ilvl="0" w:tplc="D37A86F0">
      <w:start w:val="1"/>
      <w:numFmt w:val="bullet"/>
      <w:lvlText w:val=""/>
      <w:lvlJc w:val="left"/>
      <w:pPr>
        <w:ind w:left="360" w:hanging="360"/>
      </w:pPr>
      <w:rPr>
        <w:rFonts w:ascii="Symbol" w:hAnsi="Symbol" w:hint="default"/>
      </w:rPr>
    </w:lvl>
    <w:lvl w:ilvl="1" w:tplc="31620D0A">
      <w:start w:val="1"/>
      <w:numFmt w:val="bullet"/>
      <w:lvlText w:val="o"/>
      <w:lvlJc w:val="left"/>
      <w:pPr>
        <w:ind w:left="1080" w:hanging="360"/>
      </w:pPr>
      <w:rPr>
        <w:rFonts w:ascii="Courier New" w:hAnsi="Courier New" w:hint="default"/>
      </w:rPr>
    </w:lvl>
    <w:lvl w:ilvl="2" w:tplc="9DB48500">
      <w:start w:val="1"/>
      <w:numFmt w:val="bullet"/>
      <w:lvlText w:val=""/>
      <w:lvlJc w:val="left"/>
      <w:pPr>
        <w:ind w:left="1800" w:hanging="360"/>
      </w:pPr>
      <w:rPr>
        <w:rFonts w:ascii="Wingdings" w:hAnsi="Wingdings" w:hint="default"/>
      </w:rPr>
    </w:lvl>
    <w:lvl w:ilvl="3" w:tplc="F6F0EF00">
      <w:start w:val="1"/>
      <w:numFmt w:val="bullet"/>
      <w:lvlText w:val=""/>
      <w:lvlJc w:val="left"/>
      <w:pPr>
        <w:ind w:left="2520" w:hanging="360"/>
      </w:pPr>
      <w:rPr>
        <w:rFonts w:ascii="Symbol" w:hAnsi="Symbol" w:hint="default"/>
      </w:rPr>
    </w:lvl>
    <w:lvl w:ilvl="4" w:tplc="8F1A75CA">
      <w:start w:val="1"/>
      <w:numFmt w:val="bullet"/>
      <w:lvlText w:val="o"/>
      <w:lvlJc w:val="left"/>
      <w:pPr>
        <w:ind w:left="3240" w:hanging="360"/>
      </w:pPr>
      <w:rPr>
        <w:rFonts w:ascii="Courier New" w:hAnsi="Courier New" w:hint="default"/>
      </w:rPr>
    </w:lvl>
    <w:lvl w:ilvl="5" w:tplc="244CE292">
      <w:start w:val="1"/>
      <w:numFmt w:val="bullet"/>
      <w:lvlText w:val=""/>
      <w:lvlJc w:val="left"/>
      <w:pPr>
        <w:ind w:left="3960" w:hanging="360"/>
      </w:pPr>
      <w:rPr>
        <w:rFonts w:ascii="Wingdings" w:hAnsi="Wingdings" w:hint="default"/>
      </w:rPr>
    </w:lvl>
    <w:lvl w:ilvl="6" w:tplc="9ABEE664">
      <w:start w:val="1"/>
      <w:numFmt w:val="bullet"/>
      <w:lvlText w:val=""/>
      <w:lvlJc w:val="left"/>
      <w:pPr>
        <w:ind w:left="4680" w:hanging="360"/>
      </w:pPr>
      <w:rPr>
        <w:rFonts w:ascii="Symbol" w:hAnsi="Symbol" w:hint="default"/>
      </w:rPr>
    </w:lvl>
    <w:lvl w:ilvl="7" w:tplc="18BAF058">
      <w:start w:val="1"/>
      <w:numFmt w:val="bullet"/>
      <w:lvlText w:val="o"/>
      <w:lvlJc w:val="left"/>
      <w:pPr>
        <w:ind w:left="5400" w:hanging="360"/>
      </w:pPr>
      <w:rPr>
        <w:rFonts w:ascii="Courier New" w:hAnsi="Courier New" w:hint="default"/>
      </w:rPr>
    </w:lvl>
    <w:lvl w:ilvl="8" w:tplc="1D0A6D7C">
      <w:start w:val="1"/>
      <w:numFmt w:val="bullet"/>
      <w:lvlText w:val=""/>
      <w:lvlJc w:val="left"/>
      <w:pPr>
        <w:ind w:left="6120" w:hanging="360"/>
      </w:pPr>
      <w:rPr>
        <w:rFonts w:ascii="Wingdings" w:hAnsi="Wingdings" w:hint="default"/>
      </w:rPr>
    </w:lvl>
  </w:abstractNum>
  <w:abstractNum w:abstractNumId="1" w15:restartNumberingAfterBreak="0">
    <w:nsid w:val="2F04561A"/>
    <w:multiLevelType w:val="hybridMultilevel"/>
    <w:tmpl w:val="B35657A4"/>
    <w:lvl w:ilvl="0" w:tplc="A58A09B4">
      <w:start w:val="1"/>
      <w:numFmt w:val="bullet"/>
      <w:lvlText w:val="•"/>
      <w:lvlJc w:val="left"/>
      <w:pPr>
        <w:tabs>
          <w:tab w:val="num" w:pos="720"/>
        </w:tabs>
        <w:ind w:left="720" w:hanging="360"/>
      </w:pPr>
      <w:rPr>
        <w:rFonts w:ascii="Arial" w:hAnsi="Arial" w:hint="default"/>
      </w:rPr>
    </w:lvl>
    <w:lvl w:ilvl="1" w:tplc="9880E120" w:tentative="1">
      <w:start w:val="1"/>
      <w:numFmt w:val="bullet"/>
      <w:lvlText w:val="•"/>
      <w:lvlJc w:val="left"/>
      <w:pPr>
        <w:tabs>
          <w:tab w:val="num" w:pos="1440"/>
        </w:tabs>
        <w:ind w:left="1440" w:hanging="360"/>
      </w:pPr>
      <w:rPr>
        <w:rFonts w:ascii="Arial" w:hAnsi="Arial" w:hint="default"/>
      </w:rPr>
    </w:lvl>
    <w:lvl w:ilvl="2" w:tplc="084A7858" w:tentative="1">
      <w:start w:val="1"/>
      <w:numFmt w:val="bullet"/>
      <w:lvlText w:val="•"/>
      <w:lvlJc w:val="left"/>
      <w:pPr>
        <w:tabs>
          <w:tab w:val="num" w:pos="2160"/>
        </w:tabs>
        <w:ind w:left="2160" w:hanging="360"/>
      </w:pPr>
      <w:rPr>
        <w:rFonts w:ascii="Arial" w:hAnsi="Arial" w:hint="default"/>
      </w:rPr>
    </w:lvl>
    <w:lvl w:ilvl="3" w:tplc="414442AE" w:tentative="1">
      <w:start w:val="1"/>
      <w:numFmt w:val="bullet"/>
      <w:lvlText w:val="•"/>
      <w:lvlJc w:val="left"/>
      <w:pPr>
        <w:tabs>
          <w:tab w:val="num" w:pos="2880"/>
        </w:tabs>
        <w:ind w:left="2880" w:hanging="360"/>
      </w:pPr>
      <w:rPr>
        <w:rFonts w:ascii="Arial" w:hAnsi="Arial" w:hint="default"/>
      </w:rPr>
    </w:lvl>
    <w:lvl w:ilvl="4" w:tplc="7FBCF41C" w:tentative="1">
      <w:start w:val="1"/>
      <w:numFmt w:val="bullet"/>
      <w:lvlText w:val="•"/>
      <w:lvlJc w:val="left"/>
      <w:pPr>
        <w:tabs>
          <w:tab w:val="num" w:pos="3600"/>
        </w:tabs>
        <w:ind w:left="3600" w:hanging="360"/>
      </w:pPr>
      <w:rPr>
        <w:rFonts w:ascii="Arial" w:hAnsi="Arial" w:hint="default"/>
      </w:rPr>
    </w:lvl>
    <w:lvl w:ilvl="5" w:tplc="9DFE9C7C" w:tentative="1">
      <w:start w:val="1"/>
      <w:numFmt w:val="bullet"/>
      <w:lvlText w:val="•"/>
      <w:lvlJc w:val="left"/>
      <w:pPr>
        <w:tabs>
          <w:tab w:val="num" w:pos="4320"/>
        </w:tabs>
        <w:ind w:left="4320" w:hanging="360"/>
      </w:pPr>
      <w:rPr>
        <w:rFonts w:ascii="Arial" w:hAnsi="Arial" w:hint="default"/>
      </w:rPr>
    </w:lvl>
    <w:lvl w:ilvl="6" w:tplc="C2FCB38E" w:tentative="1">
      <w:start w:val="1"/>
      <w:numFmt w:val="bullet"/>
      <w:lvlText w:val="•"/>
      <w:lvlJc w:val="left"/>
      <w:pPr>
        <w:tabs>
          <w:tab w:val="num" w:pos="5040"/>
        </w:tabs>
        <w:ind w:left="5040" w:hanging="360"/>
      </w:pPr>
      <w:rPr>
        <w:rFonts w:ascii="Arial" w:hAnsi="Arial" w:hint="default"/>
      </w:rPr>
    </w:lvl>
    <w:lvl w:ilvl="7" w:tplc="D648288E" w:tentative="1">
      <w:start w:val="1"/>
      <w:numFmt w:val="bullet"/>
      <w:lvlText w:val="•"/>
      <w:lvlJc w:val="left"/>
      <w:pPr>
        <w:tabs>
          <w:tab w:val="num" w:pos="5760"/>
        </w:tabs>
        <w:ind w:left="5760" w:hanging="360"/>
      </w:pPr>
      <w:rPr>
        <w:rFonts w:ascii="Arial" w:hAnsi="Arial" w:hint="default"/>
      </w:rPr>
    </w:lvl>
    <w:lvl w:ilvl="8" w:tplc="432E8B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B74673"/>
    <w:multiLevelType w:val="hybridMultilevel"/>
    <w:tmpl w:val="BC861ACE"/>
    <w:lvl w:ilvl="0" w:tplc="8E700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6363B"/>
    <w:multiLevelType w:val="hybridMultilevel"/>
    <w:tmpl w:val="BA724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C31A3B"/>
    <w:multiLevelType w:val="hybridMultilevel"/>
    <w:tmpl w:val="FE14F280"/>
    <w:lvl w:ilvl="0" w:tplc="CA9ECB70">
      <w:start w:val="1"/>
      <w:numFmt w:val="bullet"/>
      <w:lvlText w:val="•"/>
      <w:lvlJc w:val="left"/>
      <w:pPr>
        <w:tabs>
          <w:tab w:val="num" w:pos="720"/>
        </w:tabs>
        <w:ind w:left="720" w:hanging="360"/>
      </w:pPr>
      <w:rPr>
        <w:rFonts w:ascii="Arial" w:hAnsi="Arial" w:hint="default"/>
      </w:rPr>
    </w:lvl>
    <w:lvl w:ilvl="1" w:tplc="3C68AEF4">
      <w:start w:val="1"/>
      <w:numFmt w:val="bullet"/>
      <w:lvlText w:val="•"/>
      <w:lvlJc w:val="left"/>
      <w:pPr>
        <w:tabs>
          <w:tab w:val="num" w:pos="1440"/>
        </w:tabs>
        <w:ind w:left="1440" w:hanging="360"/>
      </w:pPr>
      <w:rPr>
        <w:rFonts w:ascii="Arial" w:hAnsi="Arial" w:hint="default"/>
      </w:rPr>
    </w:lvl>
    <w:lvl w:ilvl="2" w:tplc="70CA6F9E" w:tentative="1">
      <w:start w:val="1"/>
      <w:numFmt w:val="bullet"/>
      <w:lvlText w:val="•"/>
      <w:lvlJc w:val="left"/>
      <w:pPr>
        <w:tabs>
          <w:tab w:val="num" w:pos="2160"/>
        </w:tabs>
        <w:ind w:left="2160" w:hanging="360"/>
      </w:pPr>
      <w:rPr>
        <w:rFonts w:ascii="Arial" w:hAnsi="Arial" w:hint="default"/>
      </w:rPr>
    </w:lvl>
    <w:lvl w:ilvl="3" w:tplc="5E72AF94" w:tentative="1">
      <w:start w:val="1"/>
      <w:numFmt w:val="bullet"/>
      <w:lvlText w:val="•"/>
      <w:lvlJc w:val="left"/>
      <w:pPr>
        <w:tabs>
          <w:tab w:val="num" w:pos="2880"/>
        </w:tabs>
        <w:ind w:left="2880" w:hanging="360"/>
      </w:pPr>
      <w:rPr>
        <w:rFonts w:ascii="Arial" w:hAnsi="Arial" w:hint="default"/>
      </w:rPr>
    </w:lvl>
    <w:lvl w:ilvl="4" w:tplc="5CB64942" w:tentative="1">
      <w:start w:val="1"/>
      <w:numFmt w:val="bullet"/>
      <w:lvlText w:val="•"/>
      <w:lvlJc w:val="left"/>
      <w:pPr>
        <w:tabs>
          <w:tab w:val="num" w:pos="3600"/>
        </w:tabs>
        <w:ind w:left="3600" w:hanging="360"/>
      </w:pPr>
      <w:rPr>
        <w:rFonts w:ascii="Arial" w:hAnsi="Arial" w:hint="default"/>
      </w:rPr>
    </w:lvl>
    <w:lvl w:ilvl="5" w:tplc="FD6CE04A" w:tentative="1">
      <w:start w:val="1"/>
      <w:numFmt w:val="bullet"/>
      <w:lvlText w:val="•"/>
      <w:lvlJc w:val="left"/>
      <w:pPr>
        <w:tabs>
          <w:tab w:val="num" w:pos="4320"/>
        </w:tabs>
        <w:ind w:left="4320" w:hanging="360"/>
      </w:pPr>
      <w:rPr>
        <w:rFonts w:ascii="Arial" w:hAnsi="Arial" w:hint="default"/>
      </w:rPr>
    </w:lvl>
    <w:lvl w:ilvl="6" w:tplc="39C255F0" w:tentative="1">
      <w:start w:val="1"/>
      <w:numFmt w:val="bullet"/>
      <w:lvlText w:val="•"/>
      <w:lvlJc w:val="left"/>
      <w:pPr>
        <w:tabs>
          <w:tab w:val="num" w:pos="5040"/>
        </w:tabs>
        <w:ind w:left="5040" w:hanging="360"/>
      </w:pPr>
      <w:rPr>
        <w:rFonts w:ascii="Arial" w:hAnsi="Arial" w:hint="default"/>
      </w:rPr>
    </w:lvl>
    <w:lvl w:ilvl="7" w:tplc="67B89B0C" w:tentative="1">
      <w:start w:val="1"/>
      <w:numFmt w:val="bullet"/>
      <w:lvlText w:val="•"/>
      <w:lvlJc w:val="left"/>
      <w:pPr>
        <w:tabs>
          <w:tab w:val="num" w:pos="5760"/>
        </w:tabs>
        <w:ind w:left="5760" w:hanging="360"/>
      </w:pPr>
      <w:rPr>
        <w:rFonts w:ascii="Arial" w:hAnsi="Arial" w:hint="default"/>
      </w:rPr>
    </w:lvl>
    <w:lvl w:ilvl="8" w:tplc="AD8676C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FD"/>
    <w:rsid w:val="0004107C"/>
    <w:rsid w:val="000571C4"/>
    <w:rsid w:val="000F330C"/>
    <w:rsid w:val="001F4556"/>
    <w:rsid w:val="00286A16"/>
    <w:rsid w:val="00404766"/>
    <w:rsid w:val="00485AF9"/>
    <w:rsid w:val="00541E12"/>
    <w:rsid w:val="005C10EF"/>
    <w:rsid w:val="00641B22"/>
    <w:rsid w:val="007038FD"/>
    <w:rsid w:val="007C6583"/>
    <w:rsid w:val="008340C6"/>
    <w:rsid w:val="008639B8"/>
    <w:rsid w:val="009041F2"/>
    <w:rsid w:val="009A2024"/>
    <w:rsid w:val="00A71493"/>
    <w:rsid w:val="00B11DEF"/>
    <w:rsid w:val="00B329FC"/>
    <w:rsid w:val="00B45BFF"/>
    <w:rsid w:val="00BC75E2"/>
    <w:rsid w:val="00C16F87"/>
    <w:rsid w:val="00C369CE"/>
    <w:rsid w:val="00CE6B1C"/>
    <w:rsid w:val="00D13ACA"/>
    <w:rsid w:val="00D15410"/>
    <w:rsid w:val="00E54270"/>
    <w:rsid w:val="00E84A57"/>
    <w:rsid w:val="00EA5755"/>
    <w:rsid w:val="00EC2D11"/>
    <w:rsid w:val="00EE432F"/>
    <w:rsid w:val="00EF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53F7"/>
  <w15:chartTrackingRefBased/>
  <w15:docId w15:val="{735BF0F5-8392-4363-9ACA-69E8EE08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0EF"/>
    <w:pPr>
      <w:ind w:left="720"/>
      <w:contextualSpacing/>
    </w:pPr>
  </w:style>
  <w:style w:type="character" w:styleId="CommentReference">
    <w:name w:val="annotation reference"/>
    <w:basedOn w:val="DefaultParagraphFont"/>
    <w:uiPriority w:val="99"/>
    <w:semiHidden/>
    <w:unhideWhenUsed/>
    <w:rsid w:val="00B45BFF"/>
    <w:rPr>
      <w:sz w:val="16"/>
      <w:szCs w:val="16"/>
    </w:rPr>
  </w:style>
  <w:style w:type="paragraph" w:styleId="CommentText">
    <w:name w:val="annotation text"/>
    <w:basedOn w:val="Normal"/>
    <w:link w:val="CommentTextChar"/>
    <w:uiPriority w:val="99"/>
    <w:semiHidden/>
    <w:unhideWhenUsed/>
    <w:rsid w:val="00B45BFF"/>
    <w:pPr>
      <w:spacing w:line="240" w:lineRule="auto"/>
    </w:pPr>
    <w:rPr>
      <w:sz w:val="20"/>
      <w:szCs w:val="20"/>
    </w:rPr>
  </w:style>
  <w:style w:type="character" w:customStyle="1" w:styleId="CommentTextChar">
    <w:name w:val="Comment Text Char"/>
    <w:basedOn w:val="DefaultParagraphFont"/>
    <w:link w:val="CommentText"/>
    <w:uiPriority w:val="99"/>
    <w:semiHidden/>
    <w:rsid w:val="00B45BFF"/>
    <w:rPr>
      <w:sz w:val="20"/>
      <w:szCs w:val="20"/>
    </w:rPr>
  </w:style>
  <w:style w:type="paragraph" w:styleId="CommentSubject">
    <w:name w:val="annotation subject"/>
    <w:basedOn w:val="CommentText"/>
    <w:next w:val="CommentText"/>
    <w:link w:val="CommentSubjectChar"/>
    <w:uiPriority w:val="99"/>
    <w:semiHidden/>
    <w:unhideWhenUsed/>
    <w:rsid w:val="00B45BFF"/>
    <w:rPr>
      <w:b/>
      <w:bCs/>
    </w:rPr>
  </w:style>
  <w:style w:type="character" w:customStyle="1" w:styleId="CommentSubjectChar">
    <w:name w:val="Comment Subject Char"/>
    <w:basedOn w:val="CommentTextChar"/>
    <w:link w:val="CommentSubject"/>
    <w:uiPriority w:val="99"/>
    <w:semiHidden/>
    <w:rsid w:val="00B45BFF"/>
    <w:rPr>
      <w:b/>
      <w:bCs/>
      <w:sz w:val="20"/>
      <w:szCs w:val="20"/>
    </w:rPr>
  </w:style>
  <w:style w:type="paragraph" w:styleId="Revision">
    <w:name w:val="Revision"/>
    <w:hidden/>
    <w:uiPriority w:val="99"/>
    <w:semiHidden/>
    <w:rsid w:val="00B45BFF"/>
    <w:pPr>
      <w:spacing w:after="0" w:line="240" w:lineRule="auto"/>
    </w:pPr>
  </w:style>
  <w:style w:type="table" w:styleId="TableGrid">
    <w:name w:val="Table Grid"/>
    <w:basedOn w:val="TableNormal"/>
    <w:uiPriority w:val="39"/>
    <w:rsid w:val="0083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6">
    <w:name w:val="List Table 4 Accent 6"/>
    <w:basedOn w:val="TableNormal"/>
    <w:uiPriority w:val="49"/>
    <w:rsid w:val="008340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4">
    <w:name w:val="List Table 6 Colorful Accent 4"/>
    <w:basedOn w:val="TableNormal"/>
    <w:uiPriority w:val="51"/>
    <w:rsid w:val="00BC75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06444">
      <w:bodyDiv w:val="1"/>
      <w:marLeft w:val="0"/>
      <w:marRight w:val="0"/>
      <w:marTop w:val="0"/>
      <w:marBottom w:val="0"/>
      <w:divBdr>
        <w:top w:val="none" w:sz="0" w:space="0" w:color="auto"/>
        <w:left w:val="none" w:sz="0" w:space="0" w:color="auto"/>
        <w:bottom w:val="none" w:sz="0" w:space="0" w:color="auto"/>
        <w:right w:val="none" w:sz="0" w:space="0" w:color="auto"/>
      </w:divBdr>
      <w:divsChild>
        <w:div w:id="61102318">
          <w:marLeft w:val="1080"/>
          <w:marRight w:val="0"/>
          <w:marTop w:val="100"/>
          <w:marBottom w:val="0"/>
          <w:divBdr>
            <w:top w:val="none" w:sz="0" w:space="0" w:color="auto"/>
            <w:left w:val="none" w:sz="0" w:space="0" w:color="auto"/>
            <w:bottom w:val="none" w:sz="0" w:space="0" w:color="auto"/>
            <w:right w:val="none" w:sz="0" w:space="0" w:color="auto"/>
          </w:divBdr>
        </w:div>
        <w:div w:id="1068193572">
          <w:marLeft w:val="1080"/>
          <w:marRight w:val="0"/>
          <w:marTop w:val="100"/>
          <w:marBottom w:val="0"/>
          <w:divBdr>
            <w:top w:val="none" w:sz="0" w:space="0" w:color="auto"/>
            <w:left w:val="none" w:sz="0" w:space="0" w:color="auto"/>
            <w:bottom w:val="none" w:sz="0" w:space="0" w:color="auto"/>
            <w:right w:val="none" w:sz="0" w:space="0" w:color="auto"/>
          </w:divBdr>
        </w:div>
      </w:divsChild>
    </w:div>
    <w:div w:id="1262644122">
      <w:bodyDiv w:val="1"/>
      <w:marLeft w:val="0"/>
      <w:marRight w:val="0"/>
      <w:marTop w:val="0"/>
      <w:marBottom w:val="0"/>
      <w:divBdr>
        <w:top w:val="none" w:sz="0" w:space="0" w:color="auto"/>
        <w:left w:val="none" w:sz="0" w:space="0" w:color="auto"/>
        <w:bottom w:val="none" w:sz="0" w:space="0" w:color="auto"/>
        <w:right w:val="none" w:sz="0" w:space="0" w:color="auto"/>
      </w:divBdr>
      <w:divsChild>
        <w:div w:id="861479154">
          <w:marLeft w:val="1080"/>
          <w:marRight w:val="0"/>
          <w:marTop w:val="100"/>
          <w:marBottom w:val="0"/>
          <w:divBdr>
            <w:top w:val="none" w:sz="0" w:space="0" w:color="auto"/>
            <w:left w:val="none" w:sz="0" w:space="0" w:color="auto"/>
            <w:bottom w:val="none" w:sz="0" w:space="0" w:color="auto"/>
            <w:right w:val="none" w:sz="0" w:space="0" w:color="auto"/>
          </w:divBdr>
        </w:div>
        <w:div w:id="410393700">
          <w:marLeft w:val="1080"/>
          <w:marRight w:val="0"/>
          <w:marTop w:val="100"/>
          <w:marBottom w:val="0"/>
          <w:divBdr>
            <w:top w:val="none" w:sz="0" w:space="0" w:color="auto"/>
            <w:left w:val="none" w:sz="0" w:space="0" w:color="auto"/>
            <w:bottom w:val="none" w:sz="0" w:space="0" w:color="auto"/>
            <w:right w:val="none" w:sz="0" w:space="0" w:color="auto"/>
          </w:divBdr>
        </w:div>
      </w:divsChild>
    </w:div>
    <w:div w:id="2035305756">
      <w:bodyDiv w:val="1"/>
      <w:marLeft w:val="0"/>
      <w:marRight w:val="0"/>
      <w:marTop w:val="0"/>
      <w:marBottom w:val="0"/>
      <w:divBdr>
        <w:top w:val="none" w:sz="0" w:space="0" w:color="auto"/>
        <w:left w:val="none" w:sz="0" w:space="0" w:color="auto"/>
        <w:bottom w:val="none" w:sz="0" w:space="0" w:color="auto"/>
        <w:right w:val="none" w:sz="0" w:space="0" w:color="auto"/>
      </w:divBdr>
      <w:divsChild>
        <w:div w:id="378478177">
          <w:marLeft w:val="360"/>
          <w:marRight w:val="0"/>
          <w:marTop w:val="200"/>
          <w:marBottom w:val="0"/>
          <w:divBdr>
            <w:top w:val="none" w:sz="0" w:space="0" w:color="auto"/>
            <w:left w:val="none" w:sz="0" w:space="0" w:color="auto"/>
            <w:bottom w:val="none" w:sz="0" w:space="0" w:color="auto"/>
            <w:right w:val="none" w:sz="0" w:space="0" w:color="auto"/>
          </w:divBdr>
        </w:div>
        <w:div w:id="402874799">
          <w:marLeft w:val="360"/>
          <w:marRight w:val="0"/>
          <w:marTop w:val="200"/>
          <w:marBottom w:val="0"/>
          <w:divBdr>
            <w:top w:val="none" w:sz="0" w:space="0" w:color="auto"/>
            <w:left w:val="none" w:sz="0" w:space="0" w:color="auto"/>
            <w:bottom w:val="none" w:sz="0" w:space="0" w:color="auto"/>
            <w:right w:val="none" w:sz="0" w:space="0" w:color="auto"/>
          </w:divBdr>
        </w:div>
        <w:div w:id="9567915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lobalprotectioncluster.org/tools-and-guidance/hpc-guidance/"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balprotectioncluster.org/2021/08/11/protection-analytical-framewor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Props1.xml><?xml version="1.0" encoding="utf-8"?>
<ds:datastoreItem xmlns:ds="http://schemas.openxmlformats.org/officeDocument/2006/customXml" ds:itemID="{6E8AB369-CDA0-9A45-BB51-1F0A1B623C23}">
  <ds:schemaRefs>
    <ds:schemaRef ds:uri="http://schemas.openxmlformats.org/officeDocument/2006/bibliography"/>
  </ds:schemaRefs>
</ds:datastoreItem>
</file>

<file path=customXml/itemProps2.xml><?xml version="1.0" encoding="utf-8"?>
<ds:datastoreItem xmlns:ds="http://schemas.openxmlformats.org/officeDocument/2006/customXml" ds:itemID="{FD04D6FC-8E7A-4074-8CD2-E3979F1632A6}"/>
</file>

<file path=customXml/itemProps3.xml><?xml version="1.0" encoding="utf-8"?>
<ds:datastoreItem xmlns:ds="http://schemas.openxmlformats.org/officeDocument/2006/customXml" ds:itemID="{85666BEA-8D5C-48C0-9B99-3EF6EBE1671A}"/>
</file>

<file path=customXml/itemProps4.xml><?xml version="1.0" encoding="utf-8"?>
<ds:datastoreItem xmlns:ds="http://schemas.openxmlformats.org/officeDocument/2006/customXml" ds:itemID="{CEB85C5D-AF01-4A36-87A0-F15068CB161E}"/>
</file>

<file path=docProps/app.xml><?xml version="1.0" encoding="utf-8"?>
<Properties xmlns="http://schemas.openxmlformats.org/officeDocument/2006/extended-properties" xmlns:vt="http://schemas.openxmlformats.org/officeDocument/2006/docPropsVTypes">
  <Template>Normal</Template>
  <TotalTime>5</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DUVAL</dc:creator>
  <cp:keywords/>
  <dc:description/>
  <cp:lastModifiedBy>Boris Carlos Aristin Gonzalez</cp:lastModifiedBy>
  <cp:revision>5</cp:revision>
  <dcterms:created xsi:type="dcterms:W3CDTF">2022-01-05T12:24:00Z</dcterms:created>
  <dcterms:modified xsi:type="dcterms:W3CDTF">2022-01-26T13:20:00Z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