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1"/>
        <w:tblW w:w="14323" w:type="dxa"/>
        <w:tblInd w:w="-725" w:type="dxa"/>
        <w:tblLayout w:type="fixed"/>
        <w:tblLook w:val="04A0" w:firstRow="1" w:lastRow="0" w:firstColumn="1" w:lastColumn="0" w:noHBand="0" w:noVBand="1"/>
      </w:tblPr>
      <w:tblGrid>
        <w:gridCol w:w="2117"/>
        <w:gridCol w:w="2503"/>
        <w:gridCol w:w="3041"/>
        <w:gridCol w:w="236"/>
        <w:gridCol w:w="236"/>
        <w:gridCol w:w="236"/>
        <w:gridCol w:w="2977"/>
        <w:gridCol w:w="2977"/>
      </w:tblGrid>
      <w:tr w:rsidR="000A4EB3" w:rsidRPr="006C1DF9" w14:paraId="0E6A7078" w14:textId="0DC3AB37" w:rsidTr="000A4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4E3457F" w14:textId="77777777" w:rsidR="000A4EB3" w:rsidRPr="006C1DF9" w:rsidRDefault="000A4EB3" w:rsidP="00D012DB">
            <w:pPr>
              <w:rPr>
                <w:rFonts w:cstheme="minorHAnsi"/>
              </w:rPr>
            </w:pPr>
            <w:bookmarkStart w:id="0" w:name="_GoBack"/>
            <w:bookmarkEnd w:id="0"/>
            <w:r w:rsidRPr="006C1DF9">
              <w:rPr>
                <w:rFonts w:cstheme="minorHAnsi"/>
              </w:rPr>
              <w:t>Cluster Activity</w:t>
            </w:r>
          </w:p>
        </w:tc>
        <w:tc>
          <w:tcPr>
            <w:tcW w:w="2503" w:type="dxa"/>
          </w:tcPr>
          <w:p w14:paraId="4DEE20D5" w14:textId="77777777" w:rsidR="000A4EB3" w:rsidRPr="006C1DF9" w:rsidRDefault="000A4EB3" w:rsidP="00D012DB">
            <w:pPr>
              <w:cnfStyle w:val="100000000000" w:firstRow="1" w:lastRow="0" w:firstColumn="0" w:lastColumn="0" w:oddVBand="0" w:evenVBand="0" w:oddHBand="0" w:evenHBand="0" w:firstRowFirstColumn="0" w:firstRowLastColumn="0" w:lastRowFirstColumn="0" w:lastRowLastColumn="0"/>
              <w:rPr>
                <w:rFonts w:cstheme="minorHAnsi"/>
              </w:rPr>
            </w:pPr>
            <w:r w:rsidRPr="006C1DF9">
              <w:rPr>
                <w:rFonts w:cstheme="minorHAnsi"/>
              </w:rPr>
              <w:t>Modality of transition</w:t>
            </w:r>
          </w:p>
        </w:tc>
        <w:tc>
          <w:tcPr>
            <w:tcW w:w="3041" w:type="dxa"/>
          </w:tcPr>
          <w:p w14:paraId="436E636B" w14:textId="77777777" w:rsidR="000A4EB3" w:rsidRPr="006C1DF9" w:rsidRDefault="000A4EB3" w:rsidP="00D012DB">
            <w:pPr>
              <w:cnfStyle w:val="100000000000" w:firstRow="1" w:lastRow="0" w:firstColumn="0" w:lastColumn="0" w:oddVBand="0" w:evenVBand="0" w:oddHBand="0" w:evenHBand="0" w:firstRowFirstColumn="0" w:firstRowLastColumn="0" w:lastRowFirstColumn="0" w:lastRowLastColumn="0"/>
              <w:rPr>
                <w:rFonts w:cstheme="minorHAnsi"/>
              </w:rPr>
            </w:pPr>
            <w:r w:rsidRPr="006C1DF9">
              <w:rPr>
                <w:rFonts w:cstheme="minorHAnsi"/>
              </w:rPr>
              <w:t>Actions needed to enable transition</w:t>
            </w:r>
          </w:p>
        </w:tc>
        <w:tc>
          <w:tcPr>
            <w:tcW w:w="236" w:type="dxa"/>
          </w:tcPr>
          <w:p w14:paraId="51149D08" w14:textId="77777777" w:rsidR="000A4EB3" w:rsidRPr="006C1DF9" w:rsidRDefault="000A4EB3" w:rsidP="00D012DB">
            <w:pPr>
              <w:cnfStyle w:val="100000000000" w:firstRow="1" w:lastRow="0" w:firstColumn="0" w:lastColumn="0" w:oddVBand="0" w:evenVBand="0" w:oddHBand="0" w:evenHBand="0" w:firstRowFirstColumn="0" w:firstRowLastColumn="0" w:lastRowFirstColumn="0" w:lastRowLastColumn="0"/>
              <w:rPr>
                <w:rFonts w:cstheme="minorHAnsi"/>
              </w:rPr>
            </w:pPr>
          </w:p>
        </w:tc>
        <w:tc>
          <w:tcPr>
            <w:tcW w:w="236" w:type="dxa"/>
          </w:tcPr>
          <w:p w14:paraId="1ED924A9" w14:textId="77777777" w:rsidR="000A4EB3" w:rsidRPr="006C1DF9" w:rsidRDefault="000A4EB3" w:rsidP="00D012DB">
            <w:pPr>
              <w:cnfStyle w:val="100000000000" w:firstRow="1" w:lastRow="0" w:firstColumn="0" w:lastColumn="0" w:oddVBand="0" w:evenVBand="0" w:oddHBand="0" w:evenHBand="0" w:firstRowFirstColumn="0" w:firstRowLastColumn="0" w:lastRowFirstColumn="0" w:lastRowLastColumn="0"/>
              <w:rPr>
                <w:rFonts w:cstheme="minorHAnsi"/>
              </w:rPr>
            </w:pPr>
          </w:p>
        </w:tc>
        <w:tc>
          <w:tcPr>
            <w:tcW w:w="236" w:type="dxa"/>
          </w:tcPr>
          <w:p w14:paraId="0B601854" w14:textId="77777777" w:rsidR="000A4EB3" w:rsidRPr="006C1DF9" w:rsidRDefault="000A4EB3" w:rsidP="00D012DB">
            <w:pPr>
              <w:cnfStyle w:val="100000000000" w:firstRow="1" w:lastRow="0" w:firstColumn="0" w:lastColumn="0" w:oddVBand="0" w:evenVBand="0" w:oddHBand="0" w:evenHBand="0" w:firstRowFirstColumn="0" w:firstRowLastColumn="0" w:lastRowFirstColumn="0" w:lastRowLastColumn="0"/>
              <w:rPr>
                <w:rFonts w:cstheme="minorHAnsi"/>
              </w:rPr>
            </w:pPr>
          </w:p>
        </w:tc>
        <w:tc>
          <w:tcPr>
            <w:tcW w:w="2977" w:type="dxa"/>
          </w:tcPr>
          <w:p w14:paraId="0091F316" w14:textId="1880175B" w:rsidR="000A4EB3" w:rsidRPr="006C1DF9" w:rsidRDefault="000A4EB3" w:rsidP="00D012DB">
            <w:pPr>
              <w:cnfStyle w:val="100000000000" w:firstRow="1" w:lastRow="0" w:firstColumn="0" w:lastColumn="0" w:oddVBand="0" w:evenVBand="0" w:oddHBand="0" w:evenHBand="0" w:firstRowFirstColumn="0" w:firstRowLastColumn="0" w:lastRowFirstColumn="0" w:lastRowLastColumn="0"/>
              <w:rPr>
                <w:rFonts w:cstheme="minorHAnsi"/>
              </w:rPr>
            </w:pPr>
            <w:r w:rsidRPr="006C1DF9">
              <w:rPr>
                <w:rFonts w:cstheme="minorHAnsi"/>
              </w:rPr>
              <w:t>Capacity Building (what is needed?)</w:t>
            </w:r>
          </w:p>
        </w:tc>
        <w:tc>
          <w:tcPr>
            <w:tcW w:w="2977" w:type="dxa"/>
          </w:tcPr>
          <w:p w14:paraId="268C21C4" w14:textId="630E89D4" w:rsidR="000A4EB3" w:rsidRPr="006C1DF9" w:rsidRDefault="000A4EB3" w:rsidP="00D012DB">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Who is trained/needs to be trained </w:t>
            </w:r>
          </w:p>
        </w:tc>
      </w:tr>
      <w:tr w:rsidR="000A4EB3" w:rsidRPr="006C1DF9" w14:paraId="04664417" w14:textId="0A1054BA" w:rsidTr="000A4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246970E8" w14:textId="77777777" w:rsidR="000A4EB3" w:rsidRPr="006C1DF9" w:rsidRDefault="000A4EB3" w:rsidP="00D012DB">
            <w:pPr>
              <w:rPr>
                <w:rFonts w:cstheme="minorHAnsi"/>
                <w:sz w:val="18"/>
                <w:szCs w:val="18"/>
              </w:rPr>
            </w:pPr>
            <w:r w:rsidRPr="006C1DF9">
              <w:rPr>
                <w:rFonts w:cstheme="minorHAnsi"/>
                <w:sz w:val="18"/>
                <w:szCs w:val="18"/>
              </w:rPr>
              <w:t>List Cluster Activities in HRP</w:t>
            </w:r>
          </w:p>
        </w:tc>
        <w:tc>
          <w:tcPr>
            <w:tcW w:w="2503" w:type="dxa"/>
          </w:tcPr>
          <w:p w14:paraId="7C1D286E" w14:textId="77777777"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6C1DF9">
              <w:rPr>
                <w:rFonts w:cstheme="minorHAnsi"/>
                <w:b/>
                <w:bCs/>
                <w:sz w:val="18"/>
                <w:szCs w:val="18"/>
              </w:rPr>
              <w:t>Who can activity be handed over to (Govt, UNSDCF, local actors, or no transition, just end)?</w:t>
            </w:r>
          </w:p>
        </w:tc>
        <w:tc>
          <w:tcPr>
            <w:tcW w:w="3041" w:type="dxa"/>
          </w:tcPr>
          <w:p w14:paraId="05A4EDFD" w14:textId="77777777"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6C1DF9">
              <w:rPr>
                <w:rFonts w:cstheme="minorHAnsi"/>
                <w:b/>
                <w:bCs/>
                <w:sz w:val="18"/>
                <w:szCs w:val="18"/>
              </w:rPr>
              <w:t>What does the cluster need to do to be able to handover?</w:t>
            </w:r>
          </w:p>
        </w:tc>
        <w:tc>
          <w:tcPr>
            <w:tcW w:w="3685" w:type="dxa"/>
            <w:gridSpan w:val="4"/>
          </w:tcPr>
          <w:p w14:paraId="0B6A46DA" w14:textId="729C2FEB" w:rsidR="000A4EB3" w:rsidRPr="006C1DF9" w:rsidRDefault="006D7A53" w:rsidP="00D012DB">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W</w:t>
            </w:r>
            <w:r w:rsidRPr="006D7A53">
              <w:rPr>
                <w:rFonts w:cstheme="minorHAnsi"/>
                <w:b/>
                <w:bCs/>
                <w:sz w:val="18"/>
                <w:szCs w:val="18"/>
              </w:rPr>
              <w:t>hat</w:t>
            </w:r>
            <w:r>
              <w:rPr>
                <w:rFonts w:cstheme="minorHAnsi"/>
                <w:b/>
                <w:bCs/>
                <w:sz w:val="18"/>
                <w:szCs w:val="18"/>
              </w:rPr>
              <w:t xml:space="preserve"> capacity </w:t>
            </w:r>
            <w:r w:rsidR="007C6F02">
              <w:rPr>
                <w:rFonts w:cstheme="minorHAnsi"/>
                <w:b/>
                <w:bCs/>
                <w:sz w:val="18"/>
                <w:szCs w:val="18"/>
              </w:rPr>
              <w:t>needs to be built</w:t>
            </w:r>
            <w:r w:rsidRPr="006D7A53">
              <w:rPr>
                <w:rFonts w:cstheme="minorHAnsi"/>
                <w:b/>
                <w:bCs/>
                <w:sz w:val="18"/>
                <w:szCs w:val="18"/>
              </w:rPr>
              <w:t>?</w:t>
            </w:r>
          </w:p>
        </w:tc>
        <w:tc>
          <w:tcPr>
            <w:tcW w:w="2977" w:type="dxa"/>
          </w:tcPr>
          <w:p w14:paraId="2F8F2775" w14:textId="5393D031" w:rsidR="000A4EB3" w:rsidRPr="006C1DF9" w:rsidRDefault="002756B3" w:rsidP="00D012DB">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Capacity for whom and by whom?</w:t>
            </w:r>
          </w:p>
        </w:tc>
      </w:tr>
      <w:tr w:rsidR="000A4EB3" w:rsidRPr="006C1DF9" w14:paraId="3CB749C4" w14:textId="6F26AB3D" w:rsidTr="000A4EB3">
        <w:tc>
          <w:tcPr>
            <w:cnfStyle w:val="001000000000" w:firstRow="0" w:lastRow="0" w:firstColumn="1" w:lastColumn="0" w:oddVBand="0" w:evenVBand="0" w:oddHBand="0" w:evenHBand="0" w:firstRowFirstColumn="0" w:firstRowLastColumn="0" w:lastRowFirstColumn="0" w:lastRowLastColumn="0"/>
            <w:tcW w:w="2117" w:type="dxa"/>
          </w:tcPr>
          <w:p w14:paraId="624ECE4A" w14:textId="77777777" w:rsidR="000A4EB3" w:rsidRPr="006C1DF9" w:rsidRDefault="000A4EB3" w:rsidP="00D012DB">
            <w:pPr>
              <w:rPr>
                <w:rFonts w:ascii="Calibri" w:hAnsi="Calibri" w:cs="Calibri"/>
              </w:rPr>
            </w:pPr>
            <w:r w:rsidRPr="006C1DF9">
              <w:rPr>
                <w:rFonts w:ascii="Calibri" w:hAnsi="Calibri" w:cs="Calibri"/>
              </w:rPr>
              <w:t>Case management – GP</w:t>
            </w:r>
          </w:p>
        </w:tc>
        <w:tc>
          <w:tcPr>
            <w:tcW w:w="2503" w:type="dxa"/>
          </w:tcPr>
          <w:p w14:paraId="044CE5F9" w14:textId="703ED722" w:rsidR="000A4EB3" w:rsidRPr="006C1DF9" w:rsidRDefault="000A4EB3" w:rsidP="00D012D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I/NGOs, </w:t>
            </w:r>
            <w:r w:rsidRPr="006C1DF9">
              <w:rPr>
                <w:rFonts w:ascii="Arial" w:hAnsi="Arial" w:cs="Arial"/>
                <w:sz w:val="20"/>
                <w:szCs w:val="20"/>
              </w:rPr>
              <w:t>Govt, local actors, UNSDCF/PWG1 or 5</w:t>
            </w:r>
          </w:p>
        </w:tc>
        <w:tc>
          <w:tcPr>
            <w:tcW w:w="3041" w:type="dxa"/>
          </w:tcPr>
          <w:p w14:paraId="54BD3720" w14:textId="548E6D4F" w:rsidR="000A4EB3" w:rsidRPr="006C1DF9" w:rsidRDefault="000A4EB3" w:rsidP="00006AC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 xml:space="preserve">Assessment of government capacity and local </w:t>
            </w:r>
            <w:proofErr w:type="gramStart"/>
            <w:r w:rsidRPr="006C1DF9">
              <w:rPr>
                <w:rFonts w:ascii="Arial" w:hAnsi="Arial" w:cs="Arial"/>
                <w:sz w:val="20"/>
              </w:rPr>
              <w:t>actors</w:t>
            </w:r>
            <w:proofErr w:type="gramEnd"/>
            <w:r w:rsidRPr="006C1DF9">
              <w:rPr>
                <w:rFonts w:ascii="Arial" w:hAnsi="Arial" w:cs="Arial"/>
                <w:sz w:val="20"/>
              </w:rPr>
              <w:t xml:space="preserve"> capacity</w:t>
            </w:r>
          </w:p>
          <w:p w14:paraId="1D43647C" w14:textId="79AE58D1" w:rsidR="000A4EB3" w:rsidRPr="006C1DF9" w:rsidRDefault="000A4EB3" w:rsidP="00006AC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Advocacy with authorities to take over</w:t>
            </w:r>
            <w:r>
              <w:rPr>
                <w:rFonts w:ascii="Arial" w:hAnsi="Arial" w:cs="Arial"/>
                <w:sz w:val="20"/>
              </w:rPr>
              <w:t xml:space="preserve"> (commitment and funding)</w:t>
            </w:r>
          </w:p>
          <w:p w14:paraId="21652FCC" w14:textId="77777777" w:rsidR="000A4EB3" w:rsidRPr="006C1DF9" w:rsidRDefault="000A4EB3" w:rsidP="00006AC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Funding made available to NGOs directly</w:t>
            </w:r>
          </w:p>
          <w:p w14:paraId="151F22F4" w14:textId="6B3312CD" w:rsidR="000A4EB3" w:rsidRPr="006C1DF9" w:rsidRDefault="000A4EB3" w:rsidP="007001FC">
            <w:pPr>
              <w:pStyle w:val="ListParagraph"/>
              <w:numPr>
                <w:ilvl w:val="0"/>
                <w:numId w:val="0"/>
              </w:numPr>
              <w:ind w:left="3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85" w:type="dxa"/>
            <w:gridSpan w:val="4"/>
          </w:tcPr>
          <w:p w14:paraId="0F1DE220" w14:textId="2E48106C" w:rsidR="000A4EB3" w:rsidRPr="006C1DF9" w:rsidRDefault="000A4EB3" w:rsidP="00847BC3">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 xml:space="preserve">Trainings on Protection and Humanitarian Principles </w:t>
            </w:r>
          </w:p>
          <w:p w14:paraId="4955A7B7" w14:textId="002BD8C7" w:rsidR="000A4EB3" w:rsidRDefault="000A4EB3" w:rsidP="00847BC3">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 xml:space="preserve">Case management trainings (case identification and registration, case assessment, case planning, plan implementation, case closure etc.). Implementation of case management requires a dedicated case management system and specialized case workers from government side; </w:t>
            </w:r>
          </w:p>
          <w:p w14:paraId="2D27EA37" w14:textId="3B29605E" w:rsidR="000A4EB3" w:rsidRPr="006C1DF9" w:rsidRDefault="000A4EB3" w:rsidP="00847BC3">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Training on Data Protection Policies</w:t>
            </w:r>
          </w:p>
          <w:p w14:paraId="272F4F41" w14:textId="0371124C" w:rsidR="000A4EB3" w:rsidRPr="00565214" w:rsidRDefault="000A4EB3" w:rsidP="00FB0481">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szCs w:val="22"/>
                <w:u w:val="single"/>
              </w:rPr>
            </w:pPr>
            <w:r w:rsidRPr="006C1DF9">
              <w:rPr>
                <w:rFonts w:ascii="Arial" w:hAnsi="Arial" w:cs="Arial"/>
                <w:sz w:val="20"/>
              </w:rPr>
              <w:t>Inter-Agency Referral trainings</w:t>
            </w:r>
          </w:p>
          <w:p w14:paraId="23D7A249" w14:textId="11108083" w:rsidR="000A4EB3" w:rsidRPr="006C1DF9" w:rsidRDefault="000A4EB3" w:rsidP="00FB0481">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szCs w:val="22"/>
                <w:u w:val="single"/>
              </w:rPr>
            </w:pPr>
            <w:r>
              <w:rPr>
                <w:rFonts w:ascii="Arial" w:hAnsi="Arial" w:cs="Arial"/>
                <w:sz w:val="20"/>
              </w:rPr>
              <w:t>Training on Disability inclusion</w:t>
            </w:r>
          </w:p>
          <w:p w14:paraId="2ABF4107" w14:textId="4B2D2B58" w:rsidR="000A4EB3" w:rsidRPr="006C1DF9" w:rsidRDefault="000A4EB3" w:rsidP="006D5E97">
            <w:pPr>
              <w:pStyle w:val="ListParagraph"/>
              <w:numPr>
                <w:ilvl w:val="0"/>
                <w:numId w:val="0"/>
              </w:numPr>
              <w:ind w:left="360"/>
              <w:jc w:val="both"/>
              <w:cnfStyle w:val="000000000000" w:firstRow="0" w:lastRow="0" w:firstColumn="0" w:lastColumn="0" w:oddVBand="0" w:evenVBand="0" w:oddHBand="0" w:evenHBand="0" w:firstRowFirstColumn="0" w:firstRowLastColumn="0" w:lastRowFirstColumn="0" w:lastRowLastColumn="0"/>
              <w:rPr>
                <w:rFonts w:cstheme="minorHAnsi"/>
                <w:szCs w:val="22"/>
                <w:u w:val="single"/>
              </w:rPr>
            </w:pPr>
          </w:p>
        </w:tc>
        <w:tc>
          <w:tcPr>
            <w:tcW w:w="2977" w:type="dxa"/>
          </w:tcPr>
          <w:p w14:paraId="3984314E" w14:textId="77777777" w:rsidR="000A4EB3" w:rsidRPr="006C1DF9" w:rsidRDefault="000A4EB3" w:rsidP="00847BC3">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A4EB3" w:rsidRPr="006C1DF9" w14:paraId="16A32878" w14:textId="6DBF8754" w:rsidTr="000A4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E95CB9A" w14:textId="77777777" w:rsidR="000A4EB3" w:rsidRPr="006C1DF9" w:rsidRDefault="000A4EB3" w:rsidP="00D012DB">
            <w:pPr>
              <w:rPr>
                <w:rFonts w:cstheme="minorHAnsi"/>
              </w:rPr>
            </w:pPr>
            <w:r w:rsidRPr="006C1DF9">
              <w:rPr>
                <w:rFonts w:cstheme="minorHAnsi"/>
              </w:rPr>
              <w:t>Referral of cases – GP</w:t>
            </w:r>
          </w:p>
        </w:tc>
        <w:tc>
          <w:tcPr>
            <w:tcW w:w="2503" w:type="dxa"/>
          </w:tcPr>
          <w:p w14:paraId="33B0C643" w14:textId="3909382B"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 xml:space="preserve">I/NGOs, </w:t>
            </w:r>
            <w:r w:rsidRPr="006C1DF9">
              <w:rPr>
                <w:rFonts w:ascii="Arial" w:hAnsi="Arial" w:cs="Arial"/>
                <w:sz w:val="20"/>
                <w:szCs w:val="20"/>
              </w:rPr>
              <w:t>Govt, local actors, UNSDCF/PWG1 or 5</w:t>
            </w:r>
          </w:p>
        </w:tc>
        <w:tc>
          <w:tcPr>
            <w:tcW w:w="3041" w:type="dxa"/>
          </w:tcPr>
          <w:p w14:paraId="592CB799" w14:textId="77777777" w:rsidR="000A4EB3" w:rsidRDefault="000A4EB3" w:rsidP="00D01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Same as above</w:t>
            </w:r>
          </w:p>
          <w:p w14:paraId="1FB2C0B9" w14:textId="1017181F" w:rsidR="000A4EB3" w:rsidRPr="003D311B" w:rsidRDefault="000A4EB3" w:rsidP="003D311B">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Identification of clear government counterparts to refer cases</w:t>
            </w:r>
          </w:p>
        </w:tc>
        <w:tc>
          <w:tcPr>
            <w:tcW w:w="3685" w:type="dxa"/>
            <w:gridSpan w:val="4"/>
          </w:tcPr>
          <w:p w14:paraId="7851AC35" w14:textId="77777777" w:rsidR="000A4EB3" w:rsidRPr="006C1DF9" w:rsidRDefault="000A4EB3" w:rsidP="00C645D5">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C1DF9">
              <w:rPr>
                <w:rFonts w:ascii="Arial" w:hAnsi="Arial" w:cs="Arial"/>
                <w:sz w:val="20"/>
              </w:rPr>
              <w:t xml:space="preserve">Trainings on Protection and Humanitarian Principles </w:t>
            </w:r>
          </w:p>
          <w:p w14:paraId="3B345EFF" w14:textId="77777777" w:rsidR="000A4EB3" w:rsidRPr="00C645D5" w:rsidRDefault="000A4EB3" w:rsidP="00C645D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cstheme="minorHAnsi"/>
              </w:rPr>
            </w:pPr>
            <w:r w:rsidRPr="006C1DF9">
              <w:rPr>
                <w:rFonts w:ascii="Arial" w:hAnsi="Arial" w:cs="Arial"/>
                <w:sz w:val="20"/>
              </w:rPr>
              <w:t>Inter-Agency Referral trainings</w:t>
            </w:r>
          </w:p>
          <w:p w14:paraId="632D22B1" w14:textId="77777777" w:rsidR="000A4EB3" w:rsidRPr="006C1DF9" w:rsidRDefault="000A4EB3" w:rsidP="00C645D5">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Training on Data Protection Policies</w:t>
            </w:r>
          </w:p>
          <w:p w14:paraId="6F84ACAC" w14:textId="765F25A7" w:rsidR="000A4EB3" w:rsidRPr="006C1DF9" w:rsidRDefault="000A4EB3" w:rsidP="00796F89">
            <w:pPr>
              <w:pStyle w:val="ListParagraph"/>
              <w:numPr>
                <w:ilvl w:val="0"/>
                <w:numId w:val="0"/>
              </w:num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2977" w:type="dxa"/>
          </w:tcPr>
          <w:p w14:paraId="67B79919" w14:textId="77777777" w:rsidR="000A4EB3" w:rsidRPr="006C1DF9" w:rsidRDefault="000A4EB3" w:rsidP="00C645D5">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A4EB3" w:rsidRPr="006C1DF9" w14:paraId="46333A19" w14:textId="427B1CE0" w:rsidTr="000A4EB3">
        <w:tc>
          <w:tcPr>
            <w:cnfStyle w:val="001000000000" w:firstRow="0" w:lastRow="0" w:firstColumn="1" w:lastColumn="0" w:oddVBand="0" w:evenVBand="0" w:oddHBand="0" w:evenHBand="0" w:firstRowFirstColumn="0" w:firstRowLastColumn="0" w:lastRowFirstColumn="0" w:lastRowLastColumn="0"/>
            <w:tcW w:w="2117" w:type="dxa"/>
          </w:tcPr>
          <w:p w14:paraId="0C544742" w14:textId="77777777" w:rsidR="000A4EB3" w:rsidRPr="006C1DF9" w:rsidRDefault="000A4EB3" w:rsidP="00D012DB">
            <w:pPr>
              <w:rPr>
                <w:rFonts w:ascii="Calibri" w:hAnsi="Calibri" w:cs="Calibri"/>
              </w:rPr>
            </w:pPr>
            <w:r w:rsidRPr="006C1DF9">
              <w:rPr>
                <w:rFonts w:ascii="Calibri" w:hAnsi="Calibri" w:cs="Calibri"/>
              </w:rPr>
              <w:t xml:space="preserve">Community-based protection activities, </w:t>
            </w:r>
            <w:r w:rsidRPr="006C1DF9">
              <w:rPr>
                <w:rFonts w:ascii="Calibri" w:hAnsi="Calibri" w:cs="Calibri"/>
                <w:sz w:val="18"/>
                <w:szCs w:val="18"/>
              </w:rPr>
              <w:t>including peaceful coexistence</w:t>
            </w:r>
          </w:p>
        </w:tc>
        <w:tc>
          <w:tcPr>
            <w:tcW w:w="2503" w:type="dxa"/>
          </w:tcPr>
          <w:p w14:paraId="183E6347" w14:textId="31BC90E1" w:rsidR="000A4EB3" w:rsidRPr="006C1DF9" w:rsidRDefault="000A4EB3" w:rsidP="00D012DB">
            <w:p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 xml:space="preserve">I/NGOs, </w:t>
            </w:r>
            <w:r w:rsidRPr="006C1DF9">
              <w:rPr>
                <w:rFonts w:ascii="Arial" w:hAnsi="Arial" w:cs="Arial"/>
                <w:sz w:val="20"/>
                <w:szCs w:val="20"/>
              </w:rPr>
              <w:t xml:space="preserve">Govt, local actors, UNSDCF/ PWG1 </w:t>
            </w:r>
          </w:p>
        </w:tc>
        <w:tc>
          <w:tcPr>
            <w:tcW w:w="3041" w:type="dxa"/>
          </w:tcPr>
          <w:p w14:paraId="790E44A4" w14:textId="708677B4" w:rsidR="000A4EB3" w:rsidRPr="006C1DF9" w:rsidRDefault="000A4EB3" w:rsidP="00A679A5">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 xml:space="preserve">Assessment of government capacity and local </w:t>
            </w:r>
            <w:proofErr w:type="gramStart"/>
            <w:r w:rsidRPr="006C1DF9">
              <w:rPr>
                <w:rFonts w:ascii="Arial" w:hAnsi="Arial" w:cs="Arial"/>
                <w:sz w:val="20"/>
              </w:rPr>
              <w:t>actors</w:t>
            </w:r>
            <w:proofErr w:type="gramEnd"/>
            <w:r w:rsidRPr="006C1DF9">
              <w:rPr>
                <w:rFonts w:ascii="Arial" w:hAnsi="Arial" w:cs="Arial"/>
                <w:sz w:val="20"/>
              </w:rPr>
              <w:t xml:space="preserve"> capacity</w:t>
            </w:r>
          </w:p>
          <w:p w14:paraId="34B24FDA" w14:textId="77777777" w:rsidR="000A4EB3" w:rsidRPr="006C1DF9" w:rsidRDefault="000A4EB3" w:rsidP="00125B2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 xml:space="preserve">Inclusion of peacebuilding actors in the NPC Service Advisor </w:t>
            </w:r>
          </w:p>
          <w:p w14:paraId="2C736C64" w14:textId="7FD0C46E" w:rsidR="000A4EB3" w:rsidRPr="006C1DF9" w:rsidRDefault="000A4EB3" w:rsidP="00125B2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C1DF9">
              <w:rPr>
                <w:rFonts w:ascii="Arial" w:hAnsi="Arial" w:cs="Arial"/>
                <w:sz w:val="20"/>
              </w:rPr>
              <w:t xml:space="preserve">Engagement with development actors (UN agencies and NGOs working on social cohesion) </w:t>
            </w:r>
            <w:r w:rsidRPr="006C1DF9">
              <w:rPr>
                <w:rFonts w:ascii="Arial" w:hAnsi="Arial" w:cs="Arial"/>
                <w:sz w:val="20"/>
              </w:rPr>
              <w:lastRenderedPageBreak/>
              <w:t>to reinforce practices on CBP and capitalize on approaches</w:t>
            </w:r>
          </w:p>
        </w:tc>
        <w:tc>
          <w:tcPr>
            <w:tcW w:w="3685" w:type="dxa"/>
            <w:gridSpan w:val="4"/>
          </w:tcPr>
          <w:p w14:paraId="47510F6D" w14:textId="6E125C76" w:rsidR="000A4EB3" w:rsidRPr="006C1DF9" w:rsidRDefault="000A4EB3" w:rsidP="00D13FB8">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6C1DF9">
              <w:rPr>
                <w:rFonts w:ascii="Arial" w:hAnsi="Arial" w:cs="Arial"/>
                <w:sz w:val="20"/>
              </w:rPr>
              <w:lastRenderedPageBreak/>
              <w:t>Capacity building on Service Advisor and its use (for non-protection/peacebuilding and government entities)</w:t>
            </w:r>
          </w:p>
          <w:p w14:paraId="247DC6B3" w14:textId="77777777" w:rsidR="000A4EB3" w:rsidRPr="0046572D" w:rsidRDefault="000A4EB3" w:rsidP="0046572D">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6572D">
              <w:rPr>
                <w:rFonts w:ascii="Arial" w:hAnsi="Arial" w:cs="Arial"/>
                <w:sz w:val="20"/>
              </w:rPr>
              <w:t xml:space="preserve">Trainings on Protection and Humanitarian Principles </w:t>
            </w:r>
          </w:p>
          <w:p w14:paraId="33ACBA7A" w14:textId="7B67B50D" w:rsidR="000A4EB3" w:rsidRPr="004F7AC7" w:rsidRDefault="000A4EB3" w:rsidP="00B0314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szCs w:val="22"/>
                <w:u w:val="single"/>
              </w:rPr>
            </w:pPr>
            <w:r>
              <w:rPr>
                <w:rFonts w:ascii="Arial" w:hAnsi="Arial" w:cs="Arial"/>
                <w:sz w:val="20"/>
              </w:rPr>
              <w:t>Training on Disability inclusion</w:t>
            </w:r>
          </w:p>
          <w:p w14:paraId="5499B6EC" w14:textId="6679ACA9" w:rsidR="000A4EB3" w:rsidRPr="006C1DF9" w:rsidRDefault="000A4EB3" w:rsidP="00B03144">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szCs w:val="22"/>
                <w:u w:val="single"/>
              </w:rPr>
            </w:pPr>
            <w:r>
              <w:rPr>
                <w:rFonts w:ascii="Arial" w:hAnsi="Arial" w:cs="Arial"/>
                <w:sz w:val="20"/>
              </w:rPr>
              <w:t xml:space="preserve">Training on Community-based protection activities </w:t>
            </w:r>
          </w:p>
          <w:p w14:paraId="67C00F0A" w14:textId="31272F5F" w:rsidR="000A4EB3" w:rsidRPr="00796F89" w:rsidRDefault="000A4EB3" w:rsidP="00796F89">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2977" w:type="dxa"/>
          </w:tcPr>
          <w:p w14:paraId="080F9E7C" w14:textId="77777777" w:rsidR="000A4EB3" w:rsidRPr="006C1DF9" w:rsidRDefault="000A4EB3" w:rsidP="00D13FB8">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A4EB3" w:rsidRPr="006C1DF9" w14:paraId="22AA6F28" w14:textId="22DD8B58" w:rsidTr="000A4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6489C76" w14:textId="77777777" w:rsidR="000A4EB3" w:rsidRPr="006C1DF9" w:rsidRDefault="000A4EB3" w:rsidP="00D012DB">
            <w:pPr>
              <w:rPr>
                <w:rFonts w:cstheme="minorHAnsi"/>
              </w:rPr>
            </w:pPr>
            <w:r w:rsidRPr="006C1DF9">
              <w:rPr>
                <w:rFonts w:cstheme="minorHAnsi"/>
              </w:rPr>
              <w:lastRenderedPageBreak/>
              <w:t>Emergency cash for protection</w:t>
            </w:r>
          </w:p>
        </w:tc>
        <w:tc>
          <w:tcPr>
            <w:tcW w:w="2503" w:type="dxa"/>
          </w:tcPr>
          <w:p w14:paraId="1AA72A5E" w14:textId="2A0ED79D"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 xml:space="preserve">I/NGOs, </w:t>
            </w:r>
            <w:r w:rsidRPr="006C1DF9">
              <w:rPr>
                <w:rFonts w:ascii="Arial" w:hAnsi="Arial" w:cs="Arial"/>
                <w:sz w:val="20"/>
                <w:szCs w:val="20"/>
              </w:rPr>
              <w:t>Govt, local actors, UNSDCF/ PWG1 or 5</w:t>
            </w:r>
          </w:p>
        </w:tc>
        <w:tc>
          <w:tcPr>
            <w:tcW w:w="3041" w:type="dxa"/>
          </w:tcPr>
          <w:p w14:paraId="1A112746" w14:textId="60BB0138" w:rsidR="000A4EB3" w:rsidRPr="00B1397B" w:rsidRDefault="000A4EB3" w:rsidP="00B1397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C1DF9">
              <w:rPr>
                <w:rFonts w:ascii="Arial" w:hAnsi="Arial" w:cs="Arial"/>
                <w:sz w:val="20"/>
              </w:rPr>
              <w:t>Will continue as appropriate (based on projects continuation – mainly linked to case management)</w:t>
            </w:r>
          </w:p>
        </w:tc>
        <w:tc>
          <w:tcPr>
            <w:tcW w:w="3685" w:type="dxa"/>
            <w:gridSpan w:val="4"/>
          </w:tcPr>
          <w:p w14:paraId="522E2C9B" w14:textId="74A47630" w:rsidR="000A4EB3" w:rsidRPr="00B429AC" w:rsidRDefault="000A4EB3" w:rsidP="00B429A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429AC">
              <w:rPr>
                <w:rFonts w:ascii="Arial" w:hAnsi="Arial" w:cs="Arial"/>
                <w:sz w:val="20"/>
              </w:rPr>
              <w:t>Trainings on Protection and Humanitarian Principles</w:t>
            </w:r>
          </w:p>
          <w:p w14:paraId="25C9CB0A" w14:textId="77777777" w:rsidR="000A4EB3" w:rsidRPr="00796F89" w:rsidRDefault="000A4EB3" w:rsidP="00B429A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rPr>
            </w:pPr>
            <w:r w:rsidRPr="00B429AC">
              <w:rPr>
                <w:rFonts w:ascii="Arial" w:hAnsi="Arial" w:cs="Arial"/>
                <w:sz w:val="20"/>
              </w:rPr>
              <w:t>Cash for protection trainings</w:t>
            </w:r>
          </w:p>
          <w:p w14:paraId="497F0956" w14:textId="77777777" w:rsidR="000A4EB3" w:rsidRPr="006C1DF9" w:rsidRDefault="000A4EB3" w:rsidP="00796F89">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Training on Data Protection Policies</w:t>
            </w:r>
          </w:p>
          <w:p w14:paraId="77A2C992" w14:textId="23A255FF" w:rsidR="000A4EB3" w:rsidRPr="00B429AC" w:rsidRDefault="000A4EB3" w:rsidP="00796F89">
            <w:pPr>
              <w:pStyle w:val="ListParagraph"/>
              <w:numPr>
                <w:ilvl w:val="0"/>
                <w:numId w:val="0"/>
              </w:num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2977" w:type="dxa"/>
          </w:tcPr>
          <w:p w14:paraId="28377E65" w14:textId="77777777" w:rsidR="000A4EB3" w:rsidRPr="00B429AC" w:rsidRDefault="000A4EB3" w:rsidP="00B429A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A4EB3" w:rsidRPr="006C1DF9" w14:paraId="6184C227" w14:textId="2E52139C" w:rsidTr="000A4EB3">
        <w:tc>
          <w:tcPr>
            <w:cnfStyle w:val="001000000000" w:firstRow="0" w:lastRow="0" w:firstColumn="1" w:lastColumn="0" w:oddVBand="0" w:evenVBand="0" w:oddHBand="0" w:evenHBand="0" w:firstRowFirstColumn="0" w:firstRowLastColumn="0" w:lastRowFirstColumn="0" w:lastRowLastColumn="0"/>
            <w:tcW w:w="2117" w:type="dxa"/>
          </w:tcPr>
          <w:p w14:paraId="7F77108B" w14:textId="77777777" w:rsidR="000A4EB3" w:rsidRPr="006C1DF9" w:rsidRDefault="000A4EB3" w:rsidP="00D012DB">
            <w:pPr>
              <w:rPr>
                <w:rFonts w:ascii="Calibri" w:hAnsi="Calibri" w:cs="Calibri"/>
              </w:rPr>
            </w:pPr>
            <w:r w:rsidRPr="006C1DF9">
              <w:rPr>
                <w:rFonts w:ascii="Calibri" w:hAnsi="Calibri" w:cs="Calibri"/>
              </w:rPr>
              <w:t>Cash for protection (MPCA)</w:t>
            </w:r>
          </w:p>
        </w:tc>
        <w:tc>
          <w:tcPr>
            <w:tcW w:w="2503" w:type="dxa"/>
          </w:tcPr>
          <w:p w14:paraId="15C29B7C" w14:textId="16726DA4" w:rsidR="000A4EB3" w:rsidRPr="006C1DF9" w:rsidRDefault="000A4EB3" w:rsidP="00D012DB">
            <w:p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 xml:space="preserve">I/NGOs, </w:t>
            </w:r>
            <w:r w:rsidRPr="006C1DF9">
              <w:rPr>
                <w:rFonts w:ascii="Arial" w:hAnsi="Arial" w:cs="Arial"/>
                <w:sz w:val="20"/>
                <w:szCs w:val="20"/>
              </w:rPr>
              <w:t>Govt, local actors, UNSDCF PWG 1 or 5</w:t>
            </w:r>
          </w:p>
        </w:tc>
        <w:tc>
          <w:tcPr>
            <w:tcW w:w="3041" w:type="dxa"/>
          </w:tcPr>
          <w:p w14:paraId="65D3A89B" w14:textId="0DF67FC2" w:rsidR="000A4EB3" w:rsidRPr="006C1DF9" w:rsidRDefault="000A4EB3" w:rsidP="00F85EF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6C1DF9">
              <w:rPr>
                <w:rFonts w:ascii="Arial" w:hAnsi="Arial" w:cs="Arial"/>
                <w:sz w:val="20"/>
              </w:rPr>
              <w:t>Will continue as appropriate (based on projects continuation)</w:t>
            </w:r>
          </w:p>
        </w:tc>
        <w:tc>
          <w:tcPr>
            <w:tcW w:w="3685" w:type="dxa"/>
            <w:gridSpan w:val="4"/>
          </w:tcPr>
          <w:p w14:paraId="7E28F0A4" w14:textId="77777777" w:rsidR="000A4EB3" w:rsidRPr="004A2CA5" w:rsidRDefault="000A4EB3" w:rsidP="0057359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rPr>
            </w:pPr>
            <w:r w:rsidRPr="00573591">
              <w:rPr>
                <w:rFonts w:ascii="Arial" w:hAnsi="Arial" w:cs="Arial"/>
                <w:sz w:val="20"/>
              </w:rPr>
              <w:t>Cash for protection trainings</w:t>
            </w:r>
          </w:p>
          <w:p w14:paraId="03A4B459" w14:textId="77777777" w:rsidR="000A4EB3" w:rsidRPr="006C1DF9" w:rsidRDefault="000A4EB3" w:rsidP="004A2CA5">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Training on Data Protection Policies</w:t>
            </w:r>
          </w:p>
          <w:p w14:paraId="39131B9A" w14:textId="78916DA9" w:rsidR="000A4EB3" w:rsidRPr="00573591" w:rsidRDefault="000A4EB3" w:rsidP="004A2CA5">
            <w:pPr>
              <w:pStyle w:val="ListParagraph"/>
              <w:numPr>
                <w:ilvl w:val="0"/>
                <w:numId w:val="0"/>
              </w:numPr>
              <w:ind w:left="360"/>
              <w:cnfStyle w:val="000000000000" w:firstRow="0" w:lastRow="0" w:firstColumn="0" w:lastColumn="0" w:oddVBand="0" w:evenVBand="0" w:oddHBand="0" w:evenHBand="0" w:firstRowFirstColumn="0" w:firstRowLastColumn="0" w:lastRowFirstColumn="0" w:lastRowLastColumn="0"/>
              <w:rPr>
                <w:rFonts w:cstheme="minorHAnsi"/>
              </w:rPr>
            </w:pPr>
          </w:p>
        </w:tc>
        <w:tc>
          <w:tcPr>
            <w:tcW w:w="2977" w:type="dxa"/>
          </w:tcPr>
          <w:p w14:paraId="1DC71826" w14:textId="77777777" w:rsidR="000A4EB3" w:rsidRPr="00573591" w:rsidRDefault="000A4EB3" w:rsidP="0057359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A4EB3" w:rsidRPr="006C1DF9" w14:paraId="1303F7DE" w14:textId="23F511D1" w:rsidTr="000A4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D194F73" w14:textId="77777777" w:rsidR="000A4EB3" w:rsidRPr="006C1DF9" w:rsidRDefault="000A4EB3" w:rsidP="00D012DB">
            <w:pPr>
              <w:rPr>
                <w:rFonts w:cstheme="minorHAnsi"/>
              </w:rPr>
            </w:pPr>
            <w:r w:rsidRPr="006C1DF9">
              <w:rPr>
                <w:rFonts w:cstheme="minorHAnsi"/>
              </w:rPr>
              <w:t>Community centers</w:t>
            </w:r>
          </w:p>
        </w:tc>
        <w:tc>
          <w:tcPr>
            <w:tcW w:w="2503" w:type="dxa"/>
          </w:tcPr>
          <w:p w14:paraId="0F09BD3B" w14:textId="3EE4EA9F" w:rsidR="000A4EB3" w:rsidRPr="000062B7" w:rsidRDefault="000A4EB3" w:rsidP="00D01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I/NGOs, </w:t>
            </w:r>
            <w:r w:rsidRPr="000062B7">
              <w:rPr>
                <w:rFonts w:ascii="Arial" w:hAnsi="Arial" w:cs="Arial"/>
                <w:sz w:val="20"/>
                <w:szCs w:val="20"/>
              </w:rPr>
              <w:t>Govt/ local actors, UNSDCF/PWG1</w:t>
            </w:r>
          </w:p>
        </w:tc>
        <w:tc>
          <w:tcPr>
            <w:tcW w:w="3041" w:type="dxa"/>
          </w:tcPr>
          <w:p w14:paraId="03AD3ABB" w14:textId="1722A356" w:rsidR="000A4EB3" w:rsidRPr="000062B7" w:rsidRDefault="000A4EB3" w:rsidP="00241E1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062B7">
              <w:rPr>
                <w:rFonts w:ascii="Arial" w:hAnsi="Arial" w:cs="Arial"/>
                <w:sz w:val="20"/>
              </w:rPr>
              <w:t xml:space="preserve">If funding is made available, centers will continue based on project continuation. Each partners running the </w:t>
            </w:r>
            <w:proofErr w:type="spellStart"/>
            <w:r w:rsidRPr="000062B7">
              <w:rPr>
                <w:rFonts w:ascii="Arial" w:hAnsi="Arial" w:cs="Arial"/>
                <w:sz w:val="20"/>
              </w:rPr>
              <w:t>centre</w:t>
            </w:r>
            <w:r>
              <w:rPr>
                <w:rFonts w:ascii="Arial" w:hAnsi="Arial" w:cs="Arial"/>
                <w:sz w:val="20"/>
              </w:rPr>
              <w:t>s</w:t>
            </w:r>
            <w:proofErr w:type="spellEnd"/>
            <w:r w:rsidRPr="000062B7">
              <w:rPr>
                <w:rFonts w:ascii="Arial" w:hAnsi="Arial" w:cs="Arial"/>
                <w:sz w:val="20"/>
              </w:rPr>
              <w:t xml:space="preserve"> to assess and identify exit strategy to government entities (if </w:t>
            </w:r>
            <w:r>
              <w:rPr>
                <w:rFonts w:ascii="Arial" w:hAnsi="Arial" w:cs="Arial"/>
                <w:sz w:val="20"/>
              </w:rPr>
              <w:t>feasible</w:t>
            </w:r>
            <w:r w:rsidRPr="000062B7">
              <w:rPr>
                <w:rFonts w:ascii="Arial" w:hAnsi="Arial" w:cs="Arial"/>
                <w:sz w:val="20"/>
              </w:rPr>
              <w:t>)</w:t>
            </w:r>
          </w:p>
        </w:tc>
        <w:tc>
          <w:tcPr>
            <w:tcW w:w="3685" w:type="dxa"/>
            <w:gridSpan w:val="4"/>
          </w:tcPr>
          <w:p w14:paraId="6A964EFA" w14:textId="1DF8E4FF" w:rsidR="000A4EB3" w:rsidRPr="00473F78" w:rsidRDefault="000A4EB3" w:rsidP="00473F7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Depending on protection activities conducted in each </w:t>
            </w:r>
            <w:proofErr w:type="spellStart"/>
            <w:r>
              <w:rPr>
                <w:rFonts w:ascii="Arial" w:hAnsi="Arial" w:cs="Arial"/>
                <w:sz w:val="20"/>
              </w:rPr>
              <w:t>centre</w:t>
            </w:r>
            <w:proofErr w:type="spellEnd"/>
            <w:r>
              <w:rPr>
                <w:rFonts w:ascii="Arial" w:hAnsi="Arial" w:cs="Arial"/>
                <w:sz w:val="20"/>
              </w:rPr>
              <w:t>, identify trainings/capacity building activities as appropriate.</w:t>
            </w:r>
          </w:p>
        </w:tc>
        <w:tc>
          <w:tcPr>
            <w:tcW w:w="2977" w:type="dxa"/>
          </w:tcPr>
          <w:p w14:paraId="0BB9369A" w14:textId="77777777" w:rsidR="000A4EB3" w:rsidRDefault="000A4EB3" w:rsidP="00473F78">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A4EB3" w:rsidRPr="006C1DF9" w14:paraId="0E3FAE65" w14:textId="57C23AF7" w:rsidTr="000A4EB3">
        <w:tc>
          <w:tcPr>
            <w:cnfStyle w:val="001000000000" w:firstRow="0" w:lastRow="0" w:firstColumn="1" w:lastColumn="0" w:oddVBand="0" w:evenVBand="0" w:oddHBand="0" w:evenHBand="0" w:firstRowFirstColumn="0" w:firstRowLastColumn="0" w:lastRowFirstColumn="0" w:lastRowLastColumn="0"/>
            <w:tcW w:w="2117" w:type="dxa"/>
          </w:tcPr>
          <w:p w14:paraId="1A48C99B" w14:textId="77777777" w:rsidR="000A4EB3" w:rsidRPr="006C1DF9" w:rsidRDefault="000A4EB3" w:rsidP="00D012DB">
            <w:pPr>
              <w:rPr>
                <w:rFonts w:cstheme="minorHAnsi"/>
              </w:rPr>
            </w:pPr>
            <w:r w:rsidRPr="006C1DF9">
              <w:rPr>
                <w:rFonts w:cstheme="minorHAnsi"/>
              </w:rPr>
              <w:t>Psychosocial support</w:t>
            </w:r>
          </w:p>
        </w:tc>
        <w:tc>
          <w:tcPr>
            <w:tcW w:w="2503" w:type="dxa"/>
          </w:tcPr>
          <w:p w14:paraId="756AFD7F" w14:textId="617C8360" w:rsidR="000A4EB3" w:rsidRPr="009A2FDD" w:rsidRDefault="000A4EB3" w:rsidP="009A2FDD">
            <w:pPr>
              <w:ind w:left="380"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szCs w:val="20"/>
              </w:rPr>
              <w:t xml:space="preserve">I/NGOs, </w:t>
            </w:r>
            <w:r w:rsidRPr="009A2FDD">
              <w:rPr>
                <w:rFonts w:ascii="Arial" w:hAnsi="Arial" w:cs="Arial"/>
                <w:sz w:val="20"/>
              </w:rPr>
              <w:t>Govt, local actors,</w:t>
            </w:r>
            <w:r>
              <w:rPr>
                <w:rFonts w:ascii="Arial" w:hAnsi="Arial" w:cs="Arial"/>
                <w:sz w:val="20"/>
              </w:rPr>
              <w:t xml:space="preserve"> U</w:t>
            </w:r>
            <w:r w:rsidRPr="009A2FDD">
              <w:rPr>
                <w:rFonts w:ascii="Arial" w:hAnsi="Arial" w:cs="Arial"/>
                <w:sz w:val="20"/>
              </w:rPr>
              <w:t>NSDCF/PWG1 or 5</w:t>
            </w:r>
          </w:p>
        </w:tc>
        <w:tc>
          <w:tcPr>
            <w:tcW w:w="3041" w:type="dxa"/>
          </w:tcPr>
          <w:p w14:paraId="6487D80E" w14:textId="77777777" w:rsidR="000A4EB3" w:rsidRPr="0065322F" w:rsidRDefault="000A4EB3" w:rsidP="006532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5322F">
              <w:rPr>
                <w:rFonts w:ascii="Arial" w:hAnsi="Arial" w:cs="Arial"/>
                <w:sz w:val="20"/>
              </w:rPr>
              <w:t>Strengthen engagement with the MHPSS WG to continue ‘coordination’ aspect of MHPSS actors;</w:t>
            </w:r>
          </w:p>
          <w:p w14:paraId="248BE833" w14:textId="5E0325B0" w:rsidR="000A4EB3" w:rsidRPr="00A77340" w:rsidRDefault="000A4EB3" w:rsidP="00A77340">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5322F">
              <w:rPr>
                <w:rFonts w:ascii="Arial" w:hAnsi="Arial" w:cs="Arial"/>
                <w:sz w:val="20"/>
              </w:rPr>
              <w:t>Via the WG and beyond it, reinforce engagement with government counterparts (MOH entities) for MHPSS cases</w:t>
            </w:r>
          </w:p>
        </w:tc>
        <w:tc>
          <w:tcPr>
            <w:tcW w:w="3685" w:type="dxa"/>
            <w:gridSpan w:val="4"/>
          </w:tcPr>
          <w:p w14:paraId="08F1632E" w14:textId="77777777" w:rsidR="000A4EB3" w:rsidRPr="0065322F" w:rsidRDefault="000A4EB3" w:rsidP="006532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37671">
              <w:rPr>
                <w:rFonts w:ascii="Arial" w:hAnsi="Arial" w:cs="Arial"/>
                <w:sz w:val="20"/>
              </w:rPr>
              <w:t>Trainings on Protection and Humanitarian Principles</w:t>
            </w:r>
          </w:p>
          <w:p w14:paraId="68247837" w14:textId="77777777" w:rsidR="000A4EB3" w:rsidRPr="0065322F" w:rsidRDefault="000A4EB3" w:rsidP="006532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Training on Disability inclusion</w:t>
            </w:r>
          </w:p>
          <w:p w14:paraId="4C4D72FA" w14:textId="77777777" w:rsidR="000A4EB3" w:rsidRPr="0065322F" w:rsidRDefault="000A4EB3" w:rsidP="006532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Training on PFA and Suicide Preventions</w:t>
            </w:r>
          </w:p>
          <w:p w14:paraId="0D8519E9" w14:textId="5CB05229" w:rsidR="000A4EB3" w:rsidRPr="0065322F" w:rsidRDefault="000A4EB3" w:rsidP="006532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Trainings on Interpersonal therapy, soft psychological interventions (for non-specialized staff)</w:t>
            </w:r>
          </w:p>
        </w:tc>
        <w:tc>
          <w:tcPr>
            <w:tcW w:w="2977" w:type="dxa"/>
          </w:tcPr>
          <w:p w14:paraId="515D0274" w14:textId="77777777" w:rsidR="000A4EB3" w:rsidRPr="00737671" w:rsidRDefault="000A4EB3" w:rsidP="0065322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A4EB3" w:rsidRPr="006C1DF9" w14:paraId="59012A14" w14:textId="530DE8FB" w:rsidTr="000A4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C121B74" w14:textId="77777777" w:rsidR="000A4EB3" w:rsidRPr="006C1DF9" w:rsidRDefault="000A4EB3" w:rsidP="00D012DB">
            <w:pPr>
              <w:rPr>
                <w:rFonts w:ascii="Calibri" w:hAnsi="Calibri" w:cs="Calibri"/>
              </w:rPr>
            </w:pPr>
            <w:r w:rsidRPr="006C1DF9">
              <w:rPr>
                <w:rFonts w:ascii="Calibri" w:hAnsi="Calibri" w:cs="Calibri"/>
              </w:rPr>
              <w:t xml:space="preserve">Legal assistance – GP documentation, family law matters, HLP   </w:t>
            </w:r>
          </w:p>
        </w:tc>
        <w:tc>
          <w:tcPr>
            <w:tcW w:w="2503" w:type="dxa"/>
          </w:tcPr>
          <w:p w14:paraId="1DB404EA" w14:textId="02F2A9FD"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I/NGOs, </w:t>
            </w:r>
            <w:r w:rsidRPr="006C1DF9">
              <w:rPr>
                <w:rFonts w:ascii="Arial" w:hAnsi="Arial" w:cs="Arial"/>
                <w:sz w:val="20"/>
                <w:szCs w:val="20"/>
              </w:rPr>
              <w:t>Govt, local actors, UNSDCF/PWG 1 or 5</w:t>
            </w:r>
            <w:r w:rsidRPr="006C1DF9">
              <w:rPr>
                <w:rFonts w:ascii="Arial" w:hAnsi="Arial" w:cs="Arial"/>
                <w:sz w:val="18"/>
                <w:szCs w:val="18"/>
              </w:rPr>
              <w:t xml:space="preserve"> </w:t>
            </w:r>
          </w:p>
        </w:tc>
        <w:tc>
          <w:tcPr>
            <w:tcW w:w="3041" w:type="dxa"/>
          </w:tcPr>
          <w:p w14:paraId="08E2FE70" w14:textId="15536AE6" w:rsidR="000A4EB3" w:rsidRPr="00F05B84" w:rsidRDefault="000A4EB3" w:rsidP="0024029B">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05B84">
              <w:rPr>
                <w:rFonts w:ascii="Arial" w:hAnsi="Arial" w:cs="Arial"/>
                <w:sz w:val="20"/>
              </w:rPr>
              <w:t xml:space="preserve">Engagement with MOI, MOJ, </w:t>
            </w:r>
            <w:proofErr w:type="spellStart"/>
            <w:r w:rsidRPr="00F05B84">
              <w:rPr>
                <w:rFonts w:ascii="Arial" w:hAnsi="Arial" w:cs="Arial"/>
                <w:sz w:val="20"/>
              </w:rPr>
              <w:t>MoDM</w:t>
            </w:r>
            <w:proofErr w:type="spellEnd"/>
            <w:r w:rsidRPr="00F05B84">
              <w:rPr>
                <w:rFonts w:ascii="Arial" w:hAnsi="Arial" w:cs="Arial"/>
                <w:sz w:val="20"/>
              </w:rPr>
              <w:t xml:space="preserve"> on advocacy (see advocacy points/messages/ policy level) and operationally: support for collection of info for client’s file and financial resources to deploy the </w:t>
            </w:r>
            <w:r w:rsidRPr="00F05B84">
              <w:rPr>
                <w:rFonts w:ascii="Arial" w:hAnsi="Arial" w:cs="Arial"/>
                <w:sz w:val="20"/>
              </w:rPr>
              <w:lastRenderedPageBreak/>
              <w:t>mobile missions and relevant staff to the selected areas; support to CADs offices (rehabilitation, restructuring, and funds to run offices/operations), support in covering fees associated with the issuance of Unified ID Cards (where available).</w:t>
            </w:r>
          </w:p>
          <w:p w14:paraId="1E2D3B55" w14:textId="17719021" w:rsidR="000A4EB3" w:rsidRPr="00E2679F" w:rsidRDefault="000A4EB3" w:rsidP="00E2679F">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05B84">
              <w:rPr>
                <w:rFonts w:ascii="Arial" w:hAnsi="Arial" w:cs="Arial"/>
                <w:sz w:val="20"/>
              </w:rPr>
              <w:t>For NGOs: direct funding made available, linkages with government counterparts facilitated</w:t>
            </w:r>
            <w:r>
              <w:rPr>
                <w:rFonts w:ascii="Arial" w:hAnsi="Arial" w:cs="Arial"/>
                <w:sz w:val="20"/>
              </w:rPr>
              <w:t>.</w:t>
            </w:r>
          </w:p>
        </w:tc>
        <w:tc>
          <w:tcPr>
            <w:tcW w:w="3685" w:type="dxa"/>
            <w:gridSpan w:val="4"/>
          </w:tcPr>
          <w:p w14:paraId="69453631" w14:textId="77777777" w:rsidR="000A4EB3" w:rsidRPr="00737671" w:rsidRDefault="000A4EB3" w:rsidP="00670ACA">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cstheme="minorHAnsi"/>
              </w:rPr>
            </w:pPr>
            <w:r w:rsidRPr="00B429AC">
              <w:rPr>
                <w:rFonts w:ascii="Arial" w:hAnsi="Arial" w:cs="Arial"/>
                <w:sz w:val="20"/>
              </w:rPr>
              <w:lastRenderedPageBreak/>
              <w:t>Trainings on Protection and Humanitarian Principles</w:t>
            </w:r>
          </w:p>
          <w:p w14:paraId="3A9849DE" w14:textId="77777777" w:rsidR="000A4EB3" w:rsidRPr="000E2F7C" w:rsidRDefault="000A4EB3" w:rsidP="00670ACA">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cstheme="minorHAnsi"/>
              </w:rPr>
            </w:pPr>
            <w:r w:rsidRPr="006C1DF9">
              <w:rPr>
                <w:rFonts w:ascii="Arial" w:hAnsi="Arial" w:cs="Arial"/>
                <w:sz w:val="20"/>
              </w:rPr>
              <w:t xml:space="preserve">Trainings on managing legal issues </w:t>
            </w:r>
          </w:p>
          <w:p w14:paraId="7F568ECE" w14:textId="77777777" w:rsidR="000A4EB3" w:rsidRPr="006C1DF9" w:rsidRDefault="000A4EB3" w:rsidP="000E2F7C">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Training on Data Protection Policies</w:t>
            </w:r>
          </w:p>
          <w:p w14:paraId="5B9ABBD5" w14:textId="5AF315CD" w:rsidR="000A4EB3" w:rsidRPr="006C1DF9" w:rsidRDefault="000A4EB3" w:rsidP="00F174F4">
            <w:pPr>
              <w:pStyle w:val="ListParagraph"/>
              <w:numPr>
                <w:ilvl w:val="0"/>
                <w:numId w:val="0"/>
              </w:numPr>
              <w:ind w:left="36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2977" w:type="dxa"/>
          </w:tcPr>
          <w:p w14:paraId="57AFD234" w14:textId="77777777" w:rsidR="000A4EB3" w:rsidRPr="00B429AC" w:rsidRDefault="000A4EB3" w:rsidP="00670ACA">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A4EB3" w:rsidRPr="006C1DF9" w14:paraId="0667BEA9" w14:textId="601ADAA0" w:rsidTr="000A4EB3">
        <w:tc>
          <w:tcPr>
            <w:cnfStyle w:val="001000000000" w:firstRow="0" w:lastRow="0" w:firstColumn="1" w:lastColumn="0" w:oddVBand="0" w:evenVBand="0" w:oddHBand="0" w:evenHBand="0" w:firstRowFirstColumn="0" w:firstRowLastColumn="0" w:lastRowFirstColumn="0" w:lastRowLastColumn="0"/>
            <w:tcW w:w="2117" w:type="dxa"/>
          </w:tcPr>
          <w:p w14:paraId="1CB81DBB" w14:textId="77777777" w:rsidR="000A4EB3" w:rsidRPr="006C1DF9" w:rsidRDefault="000A4EB3" w:rsidP="00D012DB">
            <w:pPr>
              <w:rPr>
                <w:rFonts w:ascii="Calibri" w:hAnsi="Calibri" w:cs="Calibri"/>
              </w:rPr>
            </w:pPr>
            <w:r w:rsidRPr="006C1DF9">
              <w:rPr>
                <w:rFonts w:ascii="Calibri" w:hAnsi="Calibri" w:cs="Calibri"/>
              </w:rPr>
              <w:lastRenderedPageBreak/>
              <w:t>Legal assistance – Detention representation</w:t>
            </w:r>
          </w:p>
        </w:tc>
        <w:tc>
          <w:tcPr>
            <w:tcW w:w="2503" w:type="dxa"/>
          </w:tcPr>
          <w:p w14:paraId="5E5947F4" w14:textId="32701053" w:rsidR="000A4EB3" w:rsidRPr="006C1DF9" w:rsidRDefault="000A4EB3" w:rsidP="00D01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I/NGOs, </w:t>
            </w:r>
            <w:r w:rsidRPr="006C1DF9">
              <w:rPr>
                <w:rFonts w:ascii="Arial" w:hAnsi="Arial" w:cs="Arial"/>
                <w:sz w:val="20"/>
                <w:szCs w:val="20"/>
              </w:rPr>
              <w:t xml:space="preserve">Govt, local actors, UNSDCF/PWG1 or 5, national human rights commissions/actors </w:t>
            </w:r>
          </w:p>
        </w:tc>
        <w:tc>
          <w:tcPr>
            <w:tcW w:w="3041" w:type="dxa"/>
          </w:tcPr>
          <w:p w14:paraId="222A3E40" w14:textId="6E6EEB4E" w:rsidR="000A4EB3" w:rsidRPr="00F05B84" w:rsidRDefault="000A4EB3" w:rsidP="001103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Same as above</w:t>
            </w:r>
          </w:p>
        </w:tc>
        <w:tc>
          <w:tcPr>
            <w:tcW w:w="3685" w:type="dxa"/>
            <w:gridSpan w:val="4"/>
          </w:tcPr>
          <w:p w14:paraId="6A28184E" w14:textId="77777777" w:rsidR="000A4EB3" w:rsidRPr="00737671" w:rsidRDefault="000A4EB3" w:rsidP="006F6AD5">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B429AC">
              <w:rPr>
                <w:rFonts w:ascii="Arial" w:hAnsi="Arial" w:cs="Arial"/>
                <w:sz w:val="20"/>
              </w:rPr>
              <w:t>Trainings on Protection and Humanitarian Principles</w:t>
            </w:r>
          </w:p>
          <w:p w14:paraId="1F3954D6" w14:textId="77777777" w:rsidR="000A4EB3" w:rsidRPr="000E2F7C" w:rsidRDefault="000A4EB3" w:rsidP="006F6AD5">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cstheme="minorHAnsi"/>
              </w:rPr>
            </w:pPr>
            <w:r w:rsidRPr="006C1DF9">
              <w:rPr>
                <w:rFonts w:ascii="Arial" w:hAnsi="Arial" w:cs="Arial"/>
                <w:sz w:val="20"/>
              </w:rPr>
              <w:t xml:space="preserve">Trainings on managing legal issues </w:t>
            </w:r>
          </w:p>
          <w:p w14:paraId="757849D0" w14:textId="77777777" w:rsidR="000A4EB3" w:rsidRPr="006C1DF9" w:rsidRDefault="000A4EB3" w:rsidP="006F6AD5">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Training on Data Protection Policies</w:t>
            </w:r>
          </w:p>
          <w:p w14:paraId="3508BC97" w14:textId="77777777" w:rsidR="000A4EB3" w:rsidRPr="0051101E" w:rsidRDefault="000A4EB3" w:rsidP="00D01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77" w:type="dxa"/>
          </w:tcPr>
          <w:p w14:paraId="01420B10" w14:textId="77777777" w:rsidR="000A4EB3" w:rsidRPr="00B429AC" w:rsidRDefault="000A4EB3" w:rsidP="006F6AD5">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A4EB3" w:rsidRPr="006C1DF9" w14:paraId="18A04118" w14:textId="4FFAAAAD" w:rsidTr="000A4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15349F05" w14:textId="77777777" w:rsidR="000A4EB3" w:rsidRPr="006C1DF9" w:rsidRDefault="000A4EB3" w:rsidP="00D012DB">
            <w:pPr>
              <w:rPr>
                <w:rFonts w:ascii="Calibri" w:hAnsi="Calibri" w:cs="Calibri"/>
              </w:rPr>
            </w:pPr>
            <w:r w:rsidRPr="006C1DF9">
              <w:rPr>
                <w:rFonts w:ascii="Calibri" w:hAnsi="Calibri" w:cs="Calibri"/>
              </w:rPr>
              <w:t>Awareness raising (for GP and HLP related issues)</w:t>
            </w:r>
          </w:p>
        </w:tc>
        <w:tc>
          <w:tcPr>
            <w:tcW w:w="2503" w:type="dxa"/>
          </w:tcPr>
          <w:p w14:paraId="1EC53DA3" w14:textId="102F0996"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I/NGOs, </w:t>
            </w:r>
            <w:r w:rsidRPr="006C1DF9">
              <w:rPr>
                <w:rFonts w:ascii="Arial" w:hAnsi="Arial" w:cs="Arial"/>
                <w:sz w:val="20"/>
                <w:szCs w:val="20"/>
              </w:rPr>
              <w:t xml:space="preserve">Govt, local actors, UNSDCF/PWG 1 or 5 </w:t>
            </w:r>
          </w:p>
          <w:p w14:paraId="0FDA603F" w14:textId="77777777"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C1DF9">
              <w:rPr>
                <w:rFonts w:cstheme="minorHAnsi"/>
                <w:sz w:val="18"/>
                <w:szCs w:val="18"/>
              </w:rPr>
              <w:t xml:space="preserve">To note: awareness raising under the NPC is finalized to the direct provision of a service. </w:t>
            </w:r>
          </w:p>
        </w:tc>
        <w:tc>
          <w:tcPr>
            <w:tcW w:w="3041" w:type="dxa"/>
          </w:tcPr>
          <w:p w14:paraId="47AB160C" w14:textId="12807B50" w:rsidR="000A4EB3" w:rsidRPr="00F05B84" w:rsidRDefault="000A4EB3" w:rsidP="00A4020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05B84">
              <w:rPr>
                <w:rFonts w:ascii="Arial" w:hAnsi="Arial" w:cs="Arial"/>
                <w:sz w:val="20"/>
              </w:rPr>
              <w:t>The activity will continue as finalized to the provision of other protection services.</w:t>
            </w:r>
          </w:p>
        </w:tc>
        <w:tc>
          <w:tcPr>
            <w:tcW w:w="3685" w:type="dxa"/>
            <w:gridSpan w:val="4"/>
          </w:tcPr>
          <w:p w14:paraId="755D933A" w14:textId="77777777" w:rsidR="000A4EB3" w:rsidRPr="00B043B8" w:rsidRDefault="000A4EB3" w:rsidP="00B043B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F05B84">
              <w:rPr>
                <w:rFonts w:ascii="Arial" w:hAnsi="Arial" w:cs="Arial"/>
                <w:sz w:val="20"/>
              </w:rPr>
              <w:t>Training</w:t>
            </w:r>
            <w:r>
              <w:rPr>
                <w:rFonts w:ascii="Arial" w:hAnsi="Arial" w:cs="Arial"/>
                <w:sz w:val="20"/>
              </w:rPr>
              <w:t xml:space="preserve"> </w:t>
            </w:r>
            <w:r w:rsidRPr="00F05B84">
              <w:rPr>
                <w:rFonts w:ascii="Arial" w:hAnsi="Arial" w:cs="Arial"/>
                <w:sz w:val="20"/>
              </w:rPr>
              <w:t>on Protection and Humanitarian Principles</w:t>
            </w:r>
          </w:p>
          <w:p w14:paraId="7954F37F" w14:textId="72FF2FEF" w:rsidR="000A4EB3" w:rsidRPr="00B043B8" w:rsidRDefault="000A4EB3" w:rsidP="00B043B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Pr>
                <w:rFonts w:ascii="Arial" w:hAnsi="Arial" w:cs="Arial"/>
                <w:sz w:val="20"/>
              </w:rPr>
              <w:t xml:space="preserve">Training on HLP issues (mediation, </w:t>
            </w:r>
            <w:proofErr w:type="spellStart"/>
            <w:r>
              <w:rPr>
                <w:rFonts w:ascii="Arial" w:hAnsi="Arial" w:cs="Arial"/>
                <w:sz w:val="20"/>
              </w:rPr>
              <w:t>etc</w:t>
            </w:r>
            <w:proofErr w:type="spellEnd"/>
            <w:r>
              <w:rPr>
                <w:rFonts w:ascii="Arial" w:hAnsi="Arial" w:cs="Arial"/>
                <w:sz w:val="20"/>
              </w:rPr>
              <w:t>)</w:t>
            </w:r>
          </w:p>
        </w:tc>
        <w:tc>
          <w:tcPr>
            <w:tcW w:w="2977" w:type="dxa"/>
          </w:tcPr>
          <w:p w14:paraId="5E728FA7" w14:textId="77777777" w:rsidR="000A4EB3" w:rsidRPr="00F05B84" w:rsidRDefault="000A4EB3" w:rsidP="00B043B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A4EB3" w:rsidRPr="006C1DF9" w14:paraId="4743B446" w14:textId="44FC8A0B" w:rsidTr="000A4EB3">
        <w:tc>
          <w:tcPr>
            <w:cnfStyle w:val="001000000000" w:firstRow="0" w:lastRow="0" w:firstColumn="1" w:lastColumn="0" w:oddVBand="0" w:evenVBand="0" w:oddHBand="0" w:evenHBand="0" w:firstRowFirstColumn="0" w:firstRowLastColumn="0" w:lastRowFirstColumn="0" w:lastRowLastColumn="0"/>
            <w:tcW w:w="2117" w:type="dxa"/>
          </w:tcPr>
          <w:p w14:paraId="56EDE945" w14:textId="77777777" w:rsidR="000A4EB3" w:rsidRPr="006C1DF9" w:rsidRDefault="000A4EB3" w:rsidP="00D012DB">
            <w:pPr>
              <w:rPr>
                <w:rFonts w:ascii="Calibri" w:hAnsi="Calibri" w:cs="Calibri"/>
              </w:rPr>
            </w:pPr>
            <w:r w:rsidRPr="006C1DF9">
              <w:rPr>
                <w:rFonts w:ascii="Calibri" w:hAnsi="Calibri" w:cs="Calibri"/>
              </w:rPr>
              <w:t>Protection monitoring at household level</w:t>
            </w:r>
          </w:p>
        </w:tc>
        <w:tc>
          <w:tcPr>
            <w:tcW w:w="2503" w:type="dxa"/>
          </w:tcPr>
          <w:p w14:paraId="001AD4B6" w14:textId="778F8A44" w:rsidR="000A4EB3" w:rsidRPr="006C1DF9" w:rsidRDefault="000A4EB3" w:rsidP="00D012DB">
            <w:p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 xml:space="preserve">I/NGOs, </w:t>
            </w:r>
            <w:r w:rsidRPr="006C1DF9">
              <w:rPr>
                <w:rFonts w:ascii="Arial" w:hAnsi="Arial" w:cs="Arial"/>
                <w:sz w:val="20"/>
                <w:szCs w:val="20"/>
              </w:rPr>
              <w:t xml:space="preserve">Govt, local actors, UNSDCF/PWG 1 or 5, national human rights commissions/actors </w:t>
            </w:r>
          </w:p>
        </w:tc>
        <w:tc>
          <w:tcPr>
            <w:tcW w:w="3041" w:type="dxa"/>
          </w:tcPr>
          <w:p w14:paraId="205EF906" w14:textId="023781F1" w:rsidR="000A4EB3" w:rsidRPr="00A4738A" w:rsidRDefault="000A4EB3" w:rsidP="00A4738A">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Each organization will continue to use its own protection monitoring tools.</w:t>
            </w:r>
          </w:p>
        </w:tc>
        <w:tc>
          <w:tcPr>
            <w:tcW w:w="3685" w:type="dxa"/>
            <w:gridSpan w:val="4"/>
          </w:tcPr>
          <w:p w14:paraId="10495756" w14:textId="34FB1D48" w:rsidR="000A4EB3" w:rsidRPr="00F05B84" w:rsidRDefault="000A4EB3" w:rsidP="00E44A4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05B84">
              <w:rPr>
                <w:rFonts w:ascii="Arial" w:hAnsi="Arial" w:cs="Arial"/>
                <w:sz w:val="20"/>
              </w:rPr>
              <w:t>Training on Protection Monitoring and identification of protection issues</w:t>
            </w:r>
          </w:p>
          <w:p w14:paraId="28721FBB" w14:textId="77777777" w:rsidR="000A4EB3" w:rsidRPr="00F05B84" w:rsidRDefault="000A4EB3" w:rsidP="00E44A4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05B84">
              <w:rPr>
                <w:rFonts w:ascii="Arial" w:hAnsi="Arial" w:cs="Arial"/>
                <w:sz w:val="20"/>
              </w:rPr>
              <w:t>Trainings on Protection and Humanitarian Principles</w:t>
            </w:r>
          </w:p>
          <w:p w14:paraId="0833EFA8" w14:textId="77777777" w:rsidR="000A4EB3" w:rsidRPr="00F05B84" w:rsidRDefault="000A4EB3" w:rsidP="00E44A4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05B84">
              <w:rPr>
                <w:rFonts w:ascii="Arial" w:hAnsi="Arial" w:cs="Arial"/>
                <w:sz w:val="20"/>
              </w:rPr>
              <w:t>Trainings on Protection Information Management</w:t>
            </w:r>
          </w:p>
          <w:p w14:paraId="4160B7A2" w14:textId="20C6CF1B" w:rsidR="000A4EB3" w:rsidRPr="00F05B84" w:rsidRDefault="000A4EB3" w:rsidP="00E44A4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05B84">
              <w:rPr>
                <w:rFonts w:ascii="Arial" w:hAnsi="Arial" w:cs="Arial"/>
                <w:sz w:val="20"/>
              </w:rPr>
              <w:t xml:space="preserve">Trainings on </w:t>
            </w:r>
            <w:r>
              <w:rPr>
                <w:rFonts w:ascii="Arial" w:hAnsi="Arial" w:cs="Arial"/>
                <w:sz w:val="20"/>
              </w:rPr>
              <w:t>H</w:t>
            </w:r>
            <w:r w:rsidRPr="00F05B84">
              <w:rPr>
                <w:rFonts w:ascii="Arial" w:hAnsi="Arial" w:cs="Arial"/>
                <w:sz w:val="20"/>
              </w:rPr>
              <w:t xml:space="preserve">uman </w:t>
            </w:r>
            <w:r>
              <w:rPr>
                <w:rFonts w:ascii="Arial" w:hAnsi="Arial" w:cs="Arial"/>
                <w:sz w:val="20"/>
              </w:rPr>
              <w:t>R</w:t>
            </w:r>
            <w:r w:rsidRPr="00F05B84">
              <w:rPr>
                <w:rFonts w:ascii="Arial" w:hAnsi="Arial" w:cs="Arial"/>
                <w:sz w:val="20"/>
              </w:rPr>
              <w:t>ights</w:t>
            </w:r>
          </w:p>
        </w:tc>
        <w:tc>
          <w:tcPr>
            <w:tcW w:w="2977" w:type="dxa"/>
          </w:tcPr>
          <w:p w14:paraId="2748B372" w14:textId="77777777" w:rsidR="000A4EB3" w:rsidRPr="00F05B84" w:rsidRDefault="000A4EB3" w:rsidP="00E44A47">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A4EB3" w:rsidRPr="006C1DF9" w14:paraId="5FF2DC9A" w14:textId="4B77346E" w:rsidTr="000A4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0B67BA60" w14:textId="77777777" w:rsidR="000A4EB3" w:rsidRPr="006C1DF9" w:rsidRDefault="000A4EB3" w:rsidP="00D012DB">
            <w:pPr>
              <w:rPr>
                <w:rFonts w:ascii="Calibri" w:hAnsi="Calibri" w:cs="Calibri"/>
              </w:rPr>
            </w:pPr>
            <w:r w:rsidRPr="006C1DF9">
              <w:rPr>
                <w:rFonts w:ascii="Calibri" w:hAnsi="Calibri" w:cs="Calibri"/>
              </w:rPr>
              <w:t>Protection monitoring at community level</w:t>
            </w:r>
          </w:p>
        </w:tc>
        <w:tc>
          <w:tcPr>
            <w:tcW w:w="2503" w:type="dxa"/>
          </w:tcPr>
          <w:p w14:paraId="2565994B" w14:textId="58B85D8B" w:rsidR="000A4EB3" w:rsidRPr="006C1DF9" w:rsidRDefault="000A4EB3" w:rsidP="00D012DB">
            <w:pP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 xml:space="preserve">I/NGOs, </w:t>
            </w:r>
            <w:r w:rsidRPr="006C1DF9">
              <w:rPr>
                <w:rFonts w:ascii="Arial" w:hAnsi="Arial" w:cs="Arial"/>
                <w:sz w:val="20"/>
                <w:szCs w:val="20"/>
              </w:rPr>
              <w:t xml:space="preserve">UNSDCF/PWG 1 or 5, national human </w:t>
            </w:r>
            <w:r w:rsidRPr="006C1DF9">
              <w:rPr>
                <w:rFonts w:ascii="Arial" w:hAnsi="Arial" w:cs="Arial"/>
                <w:sz w:val="20"/>
                <w:szCs w:val="20"/>
              </w:rPr>
              <w:lastRenderedPageBreak/>
              <w:t xml:space="preserve">rights commissions/actors </w:t>
            </w:r>
          </w:p>
        </w:tc>
        <w:tc>
          <w:tcPr>
            <w:tcW w:w="3041" w:type="dxa"/>
          </w:tcPr>
          <w:p w14:paraId="45B6905D" w14:textId="382F56DF" w:rsidR="000A4EB3" w:rsidRPr="005E7634" w:rsidRDefault="000A4EB3" w:rsidP="005E7634">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lastRenderedPageBreak/>
              <w:t xml:space="preserve">The Protection Monitoring System (PMS) will be handed over to the CLA </w:t>
            </w:r>
            <w:r>
              <w:rPr>
                <w:rFonts w:ascii="Arial" w:hAnsi="Arial" w:cs="Arial"/>
                <w:sz w:val="20"/>
              </w:rPr>
              <w:lastRenderedPageBreak/>
              <w:t xml:space="preserve">(protection partners currently part of it – 14 </w:t>
            </w:r>
            <w:proofErr w:type="spellStart"/>
            <w:r>
              <w:rPr>
                <w:rFonts w:ascii="Arial" w:hAnsi="Arial" w:cs="Arial"/>
                <w:sz w:val="20"/>
              </w:rPr>
              <w:t>organisations</w:t>
            </w:r>
            <w:proofErr w:type="spellEnd"/>
            <w:r>
              <w:rPr>
                <w:rFonts w:ascii="Arial" w:hAnsi="Arial" w:cs="Arial"/>
                <w:sz w:val="20"/>
              </w:rPr>
              <w:t xml:space="preserve"> – will likely continue to participate in it, with UNHCR conducting the full analysis.</w:t>
            </w:r>
          </w:p>
        </w:tc>
        <w:tc>
          <w:tcPr>
            <w:tcW w:w="3685" w:type="dxa"/>
            <w:gridSpan w:val="4"/>
          </w:tcPr>
          <w:p w14:paraId="0107B158" w14:textId="77777777" w:rsidR="000A4EB3" w:rsidRPr="00F05B84" w:rsidRDefault="000A4EB3" w:rsidP="00D30684">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05B84">
              <w:rPr>
                <w:rFonts w:ascii="Arial" w:hAnsi="Arial" w:cs="Arial"/>
                <w:sz w:val="20"/>
              </w:rPr>
              <w:lastRenderedPageBreak/>
              <w:t>Trainings on Protection and Humanitarian Principles</w:t>
            </w:r>
          </w:p>
          <w:p w14:paraId="7546F755" w14:textId="77777777" w:rsidR="000A4EB3" w:rsidRPr="00F05B84" w:rsidRDefault="000A4EB3" w:rsidP="00D30684">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05B84">
              <w:rPr>
                <w:rFonts w:ascii="Arial" w:hAnsi="Arial" w:cs="Arial"/>
                <w:sz w:val="20"/>
              </w:rPr>
              <w:lastRenderedPageBreak/>
              <w:t xml:space="preserve">Trainings on the Protection Monitoring System at community level (PMS) and related documents </w:t>
            </w:r>
          </w:p>
          <w:p w14:paraId="17F41E6A" w14:textId="77777777" w:rsidR="000A4EB3" w:rsidRPr="00F05B84" w:rsidRDefault="000A4EB3" w:rsidP="00D30684">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05B84">
              <w:rPr>
                <w:rFonts w:ascii="Arial" w:hAnsi="Arial" w:cs="Arial"/>
                <w:sz w:val="20"/>
              </w:rPr>
              <w:t>Trainings on Protection Information Management</w:t>
            </w:r>
          </w:p>
          <w:p w14:paraId="2122B536" w14:textId="0214253B" w:rsidR="000A4EB3" w:rsidRPr="00F05B84" w:rsidRDefault="000A4EB3" w:rsidP="00D30684">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05B84">
              <w:rPr>
                <w:rFonts w:ascii="Arial" w:hAnsi="Arial" w:cs="Arial"/>
                <w:sz w:val="20"/>
              </w:rPr>
              <w:t>Trainings on Human Rights</w:t>
            </w:r>
            <w:r>
              <w:rPr>
                <w:rFonts w:ascii="Arial" w:hAnsi="Arial" w:cs="Arial"/>
                <w:sz w:val="20"/>
              </w:rPr>
              <w:t xml:space="preserve"> </w:t>
            </w:r>
          </w:p>
        </w:tc>
        <w:tc>
          <w:tcPr>
            <w:tcW w:w="2977" w:type="dxa"/>
          </w:tcPr>
          <w:p w14:paraId="37233C33" w14:textId="77777777" w:rsidR="000A4EB3" w:rsidRPr="00F05B84" w:rsidRDefault="000A4EB3" w:rsidP="00D30684">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A4EB3" w:rsidRPr="006C1DF9" w14:paraId="08D1A01D" w14:textId="18868B18" w:rsidTr="000A4EB3">
        <w:tc>
          <w:tcPr>
            <w:cnfStyle w:val="001000000000" w:firstRow="0" w:lastRow="0" w:firstColumn="1" w:lastColumn="0" w:oddVBand="0" w:evenVBand="0" w:oddHBand="0" w:evenHBand="0" w:firstRowFirstColumn="0" w:firstRowLastColumn="0" w:lastRowFirstColumn="0" w:lastRowLastColumn="0"/>
            <w:tcW w:w="2117" w:type="dxa"/>
          </w:tcPr>
          <w:p w14:paraId="0305DD03" w14:textId="77777777" w:rsidR="000A4EB3" w:rsidRPr="006C1DF9" w:rsidRDefault="000A4EB3" w:rsidP="00D012DB">
            <w:pPr>
              <w:rPr>
                <w:rFonts w:ascii="Calibri" w:hAnsi="Calibri" w:cs="Calibri"/>
              </w:rPr>
            </w:pPr>
            <w:r w:rsidRPr="006C1DF9">
              <w:rPr>
                <w:rFonts w:ascii="Calibri" w:hAnsi="Calibri" w:cs="Calibri"/>
              </w:rPr>
              <w:lastRenderedPageBreak/>
              <w:t>Training and capacity strengthening activities – GP and HLP</w:t>
            </w:r>
          </w:p>
        </w:tc>
        <w:tc>
          <w:tcPr>
            <w:tcW w:w="2503" w:type="dxa"/>
          </w:tcPr>
          <w:p w14:paraId="12FC6022" w14:textId="66EE9EAE" w:rsidR="000A4EB3" w:rsidRPr="006C1DF9" w:rsidRDefault="000A4EB3" w:rsidP="00D012DB">
            <w:p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 xml:space="preserve">I/NGOs, </w:t>
            </w:r>
            <w:r w:rsidRPr="006C1DF9">
              <w:rPr>
                <w:rFonts w:ascii="Arial" w:hAnsi="Arial" w:cs="Arial"/>
                <w:sz w:val="20"/>
                <w:szCs w:val="20"/>
              </w:rPr>
              <w:t>UNSDCF/PWG 1 or 5</w:t>
            </w:r>
          </w:p>
        </w:tc>
        <w:tc>
          <w:tcPr>
            <w:tcW w:w="3041" w:type="dxa"/>
          </w:tcPr>
          <w:p w14:paraId="7700B9FD" w14:textId="7CF0968D" w:rsidR="000A4EB3" w:rsidRPr="00F05B84" w:rsidRDefault="000A4EB3" w:rsidP="00D01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gridSpan w:val="4"/>
          </w:tcPr>
          <w:p w14:paraId="7C8F97A7" w14:textId="118EF768" w:rsidR="000A4EB3" w:rsidRPr="00F05B84" w:rsidRDefault="000A4EB3" w:rsidP="00D01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5B84">
              <w:rPr>
                <w:rFonts w:ascii="Arial" w:hAnsi="Arial" w:cs="Arial"/>
                <w:sz w:val="20"/>
                <w:szCs w:val="20"/>
              </w:rPr>
              <w:t>Depending on activities see above.</w:t>
            </w:r>
          </w:p>
        </w:tc>
        <w:tc>
          <w:tcPr>
            <w:tcW w:w="2977" w:type="dxa"/>
          </w:tcPr>
          <w:p w14:paraId="7C92E5DE" w14:textId="77777777" w:rsidR="000A4EB3" w:rsidRPr="00F05B84" w:rsidRDefault="000A4EB3" w:rsidP="00D012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731975F" w14:textId="5FB1025B" w:rsidR="0003153C" w:rsidRDefault="0003153C" w:rsidP="0003153C"/>
    <w:p w14:paraId="24B43D32" w14:textId="75324F1F" w:rsidR="00EF52B6" w:rsidRPr="006C1DF9" w:rsidRDefault="00EF52B6" w:rsidP="0003153C">
      <w:r>
        <w:rPr>
          <w:rFonts w:ascii="Arial" w:hAnsi="Arial" w:cs="Arial"/>
          <w:sz w:val="20"/>
        </w:rPr>
        <w:t>Training on Protection Mainstreaming</w:t>
      </w:r>
    </w:p>
    <w:sectPr w:rsidR="00EF52B6" w:rsidRPr="006C1DF9" w:rsidSect="00381BEC">
      <w:headerReference w:type="even" r:id="rId7"/>
      <w:headerReference w:type="default" r:id="rId8"/>
      <w:footerReference w:type="even" r:id="rId9"/>
      <w:footerReference w:type="default" r:id="rId10"/>
      <w:headerReference w:type="first" r:id="rId11"/>
      <w:footerReference w:type="first" r:id="rId12"/>
      <w:pgSz w:w="16840" w:h="11900" w:orient="landscape" w:code="9"/>
      <w:pgMar w:top="630" w:right="1814" w:bottom="179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4E8A4" w14:textId="77777777" w:rsidR="0060618C" w:rsidRDefault="0060618C" w:rsidP="003E43F6">
      <w:pPr>
        <w:spacing w:after="0" w:line="240" w:lineRule="auto"/>
      </w:pPr>
      <w:r>
        <w:separator/>
      </w:r>
    </w:p>
  </w:endnote>
  <w:endnote w:type="continuationSeparator" w:id="0">
    <w:p w14:paraId="5B2BA1C0" w14:textId="77777777" w:rsidR="0060618C" w:rsidRDefault="0060618C" w:rsidP="003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Pro-Bd">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C4F4" w14:textId="77777777" w:rsidR="00B663CB" w:rsidRDefault="00B663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908995"/>
      <w:docPartObj>
        <w:docPartGallery w:val="Page Numbers (Bottom of Page)"/>
        <w:docPartUnique/>
      </w:docPartObj>
    </w:sdtPr>
    <w:sdtEndPr>
      <w:rPr>
        <w:noProof/>
      </w:rPr>
    </w:sdtEndPr>
    <w:sdtContent>
      <w:p w14:paraId="27852ACD" w14:textId="23833460" w:rsidR="00223771" w:rsidRDefault="00223771" w:rsidP="0003153C">
        <w:pPr>
          <w:pStyle w:val="Footer"/>
          <w:rPr>
            <w:noProof/>
          </w:rPr>
        </w:pPr>
        <w:r w:rsidRPr="008314E0">
          <w:fldChar w:fldCharType="begin"/>
        </w:r>
        <w:r w:rsidRPr="008314E0">
          <w:instrText xml:space="preserve"> PAGE   \* MERGEFORMAT </w:instrText>
        </w:r>
        <w:r w:rsidRPr="008314E0">
          <w:fldChar w:fldCharType="separate"/>
        </w:r>
        <w:r w:rsidR="000343BB">
          <w:rPr>
            <w:noProof/>
          </w:rPr>
          <w:t>1</w:t>
        </w:r>
        <w:r w:rsidRPr="008314E0">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91E37" w14:textId="77777777" w:rsidR="00B663CB" w:rsidRDefault="00B663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B1B5B" w14:textId="77777777" w:rsidR="0060618C" w:rsidRDefault="0060618C" w:rsidP="003E43F6">
      <w:pPr>
        <w:spacing w:after="0" w:line="240" w:lineRule="auto"/>
      </w:pPr>
      <w:r>
        <w:separator/>
      </w:r>
    </w:p>
  </w:footnote>
  <w:footnote w:type="continuationSeparator" w:id="0">
    <w:p w14:paraId="30A8300F" w14:textId="77777777" w:rsidR="0060618C" w:rsidRDefault="0060618C" w:rsidP="003E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757E" w14:textId="6DB90D15" w:rsidR="00B663CB" w:rsidRDefault="0060618C">
    <w:pPr>
      <w:pStyle w:val="Header"/>
    </w:pPr>
    <w:r>
      <w:rPr>
        <w:noProof/>
      </w:rPr>
      <w:pict w14:anchorId="565DF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91" o:spid="_x0000_s2050" type="#_x0000_t136" style="position:absolute;margin-left:0;margin-top:0;width:417.35pt;height:250.4pt;rotation:315;z-index:-251655168;mso-position-horizontal:center;mso-position-horizontal-relative:margin;mso-position-vertical:center;mso-position-vertical-relative:margin" o:allowincell="f" fillcolor="silver" stroked="f">
          <v:fill opacity=".5"/>
          <v:textpath style="font-family:&quot;Calibri&quot;;font-size:1pt" string="DRFA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04A2" w14:textId="70F586B3" w:rsidR="00B663CB" w:rsidRDefault="0060618C">
    <w:pPr>
      <w:pStyle w:val="Header"/>
    </w:pPr>
    <w:r>
      <w:rPr>
        <w:noProof/>
      </w:rPr>
      <w:pict w14:anchorId="28B2D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92" o:spid="_x0000_s2051" type="#_x0000_t136" style="position:absolute;margin-left:0;margin-top:0;width:417.35pt;height:250.4pt;rotation:315;z-index:-251653120;mso-position-horizontal:center;mso-position-horizontal-relative:margin;mso-position-vertical:center;mso-position-vertical-relative:margin" o:allowincell="f" fillcolor="silver" stroked="f">
          <v:fill opacity=".5"/>
          <v:textpath style="font-family:&quot;Calibri&quot;;font-size:1pt" string="DRFA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2F27" w14:textId="38CB7242" w:rsidR="00B663CB" w:rsidRDefault="0060618C">
    <w:pPr>
      <w:pStyle w:val="Header"/>
    </w:pPr>
    <w:r>
      <w:rPr>
        <w:noProof/>
      </w:rPr>
      <w:pict w14:anchorId="5C475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0390" o:spid="_x0000_s2049" type="#_x0000_t136" style="position:absolute;margin-left:0;margin-top:0;width:417.35pt;height:250.4pt;rotation:315;z-index:-251657216;mso-position-horizontal:center;mso-position-horizontal-relative:margin;mso-position-vertical:center;mso-position-vertical-relative:margin" o:allowincell="f" fillcolor="silver" stroked="f">
          <v:fill opacity=".5"/>
          <v:textpath style="font-family:&quot;Calibri&quot;;font-size:1pt" string="DRFA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2425"/>
    <w:multiLevelType w:val="hybridMultilevel"/>
    <w:tmpl w:val="609A5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82B4F"/>
    <w:multiLevelType w:val="hybridMultilevel"/>
    <w:tmpl w:val="9A4E5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B61B82"/>
    <w:multiLevelType w:val="hybridMultilevel"/>
    <w:tmpl w:val="91E0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E3D2E"/>
    <w:multiLevelType w:val="hybridMultilevel"/>
    <w:tmpl w:val="8D64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E128B"/>
    <w:multiLevelType w:val="hybridMultilevel"/>
    <w:tmpl w:val="2522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8C5AB9"/>
    <w:multiLevelType w:val="hybridMultilevel"/>
    <w:tmpl w:val="4A60B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652EB1"/>
    <w:multiLevelType w:val="hybridMultilevel"/>
    <w:tmpl w:val="10480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525E2B"/>
    <w:multiLevelType w:val="multilevel"/>
    <w:tmpl w:val="0409001D"/>
    <w:numStyleLink w:val="List-Bullets"/>
  </w:abstractNum>
  <w:abstractNum w:abstractNumId="8" w15:restartNumberingAfterBreak="0">
    <w:nsid w:val="34CC2915"/>
    <w:multiLevelType w:val="hybridMultilevel"/>
    <w:tmpl w:val="6298F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857968"/>
    <w:multiLevelType w:val="hybridMultilevel"/>
    <w:tmpl w:val="C01A2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31754"/>
    <w:multiLevelType w:val="hybridMultilevel"/>
    <w:tmpl w:val="4926B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C6223"/>
    <w:multiLevelType w:val="hybridMultilevel"/>
    <w:tmpl w:val="6AD4B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AE15FE"/>
    <w:multiLevelType w:val="hybridMultilevel"/>
    <w:tmpl w:val="21A2A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BA148C"/>
    <w:multiLevelType w:val="hybridMultilevel"/>
    <w:tmpl w:val="0624E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17" w15:restartNumberingAfterBreak="0">
    <w:nsid w:val="7D7F55AD"/>
    <w:multiLevelType w:val="hybridMultilevel"/>
    <w:tmpl w:val="1DE2D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8C74B8"/>
    <w:multiLevelType w:val="hybridMultilevel"/>
    <w:tmpl w:val="91E0C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5"/>
  </w:num>
  <w:num w:numId="5">
    <w:abstractNumId w:val="18"/>
  </w:num>
  <w:num w:numId="6">
    <w:abstractNumId w:val="2"/>
  </w:num>
  <w:num w:numId="7">
    <w:abstractNumId w:val="8"/>
  </w:num>
  <w:num w:numId="8">
    <w:abstractNumId w:val="0"/>
  </w:num>
  <w:num w:numId="9">
    <w:abstractNumId w:val="7"/>
  </w:num>
  <w:num w:numId="10">
    <w:abstractNumId w:val="7"/>
  </w:num>
  <w:num w:numId="11">
    <w:abstractNumId w:val="13"/>
  </w:num>
  <w:num w:numId="12">
    <w:abstractNumId w:val="7"/>
  </w:num>
  <w:num w:numId="13">
    <w:abstractNumId w:val="7"/>
  </w:num>
  <w:num w:numId="14">
    <w:abstractNumId w:val="7"/>
  </w:num>
  <w:num w:numId="15">
    <w:abstractNumId w:val="7"/>
  </w:num>
  <w:num w:numId="16">
    <w:abstractNumId w:val="7"/>
  </w:num>
  <w:num w:numId="17">
    <w:abstractNumId w:val="7"/>
  </w:num>
  <w:num w:numId="18">
    <w:abstractNumId w:val="14"/>
  </w:num>
  <w:num w:numId="19">
    <w:abstractNumId w:val="11"/>
  </w:num>
  <w:num w:numId="20">
    <w:abstractNumId w:val="7"/>
  </w:num>
  <w:num w:numId="21">
    <w:abstractNumId w:val="7"/>
  </w:num>
  <w:num w:numId="22">
    <w:abstractNumId w:val="1"/>
  </w:num>
  <w:num w:numId="23">
    <w:abstractNumId w:val="4"/>
  </w:num>
  <w:num w:numId="24">
    <w:abstractNumId w:val="3"/>
  </w:num>
  <w:num w:numId="25">
    <w:abstractNumId w:val="5"/>
  </w:num>
  <w:num w:numId="26">
    <w:abstractNumId w:val="9"/>
  </w:num>
  <w:num w:numId="27">
    <w:abstractNumId w:val="6"/>
  </w:num>
  <w:num w:numId="28">
    <w:abstractNumId w:val="7"/>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F"/>
    <w:rsid w:val="000062B7"/>
    <w:rsid w:val="00006AC0"/>
    <w:rsid w:val="00007CB5"/>
    <w:rsid w:val="00023B9E"/>
    <w:rsid w:val="0003153C"/>
    <w:rsid w:val="000343BB"/>
    <w:rsid w:val="0003576B"/>
    <w:rsid w:val="00072F1F"/>
    <w:rsid w:val="000A3926"/>
    <w:rsid w:val="000A4EB3"/>
    <w:rsid w:val="000C798F"/>
    <w:rsid w:val="000E00AA"/>
    <w:rsid w:val="000E0B41"/>
    <w:rsid w:val="000E2F7C"/>
    <w:rsid w:val="000E37AF"/>
    <w:rsid w:val="000F1D3C"/>
    <w:rsid w:val="000F5E24"/>
    <w:rsid w:val="0011034A"/>
    <w:rsid w:val="001147B1"/>
    <w:rsid w:val="00125B2A"/>
    <w:rsid w:val="00172BCA"/>
    <w:rsid w:val="001931BE"/>
    <w:rsid w:val="00195416"/>
    <w:rsid w:val="001A4031"/>
    <w:rsid w:val="001B09AB"/>
    <w:rsid w:val="001B345A"/>
    <w:rsid w:val="001F3A23"/>
    <w:rsid w:val="0021370F"/>
    <w:rsid w:val="00223771"/>
    <w:rsid w:val="0024029B"/>
    <w:rsid w:val="00241E18"/>
    <w:rsid w:val="002756B3"/>
    <w:rsid w:val="00276C88"/>
    <w:rsid w:val="002F1551"/>
    <w:rsid w:val="002F3542"/>
    <w:rsid w:val="00304DCA"/>
    <w:rsid w:val="00325543"/>
    <w:rsid w:val="0036033D"/>
    <w:rsid w:val="00381BEC"/>
    <w:rsid w:val="00386E39"/>
    <w:rsid w:val="003C1EDB"/>
    <w:rsid w:val="003C45E3"/>
    <w:rsid w:val="003D311B"/>
    <w:rsid w:val="003E01A7"/>
    <w:rsid w:val="003E43F6"/>
    <w:rsid w:val="003F7280"/>
    <w:rsid w:val="004014A1"/>
    <w:rsid w:val="004274DC"/>
    <w:rsid w:val="00432C9D"/>
    <w:rsid w:val="004332E2"/>
    <w:rsid w:val="00434D53"/>
    <w:rsid w:val="004375C4"/>
    <w:rsid w:val="00452901"/>
    <w:rsid w:val="0046062D"/>
    <w:rsid w:val="0046572D"/>
    <w:rsid w:val="00473F78"/>
    <w:rsid w:val="004A0191"/>
    <w:rsid w:val="004A2CA5"/>
    <w:rsid w:val="004F539F"/>
    <w:rsid w:val="004F7AC7"/>
    <w:rsid w:val="00500639"/>
    <w:rsid w:val="00506FB9"/>
    <w:rsid w:val="0051101E"/>
    <w:rsid w:val="00525B60"/>
    <w:rsid w:val="00553802"/>
    <w:rsid w:val="00565214"/>
    <w:rsid w:val="00572B62"/>
    <w:rsid w:val="00573591"/>
    <w:rsid w:val="005D34E5"/>
    <w:rsid w:val="005E0F1B"/>
    <w:rsid w:val="005E7634"/>
    <w:rsid w:val="0060618C"/>
    <w:rsid w:val="00624D12"/>
    <w:rsid w:val="006451F1"/>
    <w:rsid w:val="0065322F"/>
    <w:rsid w:val="00670799"/>
    <w:rsid w:val="00670ACA"/>
    <w:rsid w:val="006755BC"/>
    <w:rsid w:val="00677FC9"/>
    <w:rsid w:val="00683348"/>
    <w:rsid w:val="006961A6"/>
    <w:rsid w:val="006C1DF9"/>
    <w:rsid w:val="006D5E97"/>
    <w:rsid w:val="006D7A53"/>
    <w:rsid w:val="006F638B"/>
    <w:rsid w:val="006F6AD5"/>
    <w:rsid w:val="007001FC"/>
    <w:rsid w:val="00710B7D"/>
    <w:rsid w:val="00712889"/>
    <w:rsid w:val="00737671"/>
    <w:rsid w:val="00741ED9"/>
    <w:rsid w:val="00780F2A"/>
    <w:rsid w:val="00796F89"/>
    <w:rsid w:val="007C6F02"/>
    <w:rsid w:val="007D2E8E"/>
    <w:rsid w:val="007E6DB7"/>
    <w:rsid w:val="00806750"/>
    <w:rsid w:val="00807EC3"/>
    <w:rsid w:val="00835382"/>
    <w:rsid w:val="00844879"/>
    <w:rsid w:val="00847BC3"/>
    <w:rsid w:val="008D4CC9"/>
    <w:rsid w:val="008E1E5C"/>
    <w:rsid w:val="009712F2"/>
    <w:rsid w:val="00977FA3"/>
    <w:rsid w:val="009A2FDD"/>
    <w:rsid w:val="009A3461"/>
    <w:rsid w:val="009F59CC"/>
    <w:rsid w:val="009F6F8F"/>
    <w:rsid w:val="00A110A7"/>
    <w:rsid w:val="00A21806"/>
    <w:rsid w:val="00A40200"/>
    <w:rsid w:val="00A449FA"/>
    <w:rsid w:val="00A4738A"/>
    <w:rsid w:val="00A679A5"/>
    <w:rsid w:val="00A77340"/>
    <w:rsid w:val="00A77BD3"/>
    <w:rsid w:val="00A81B87"/>
    <w:rsid w:val="00AD61D1"/>
    <w:rsid w:val="00B03144"/>
    <w:rsid w:val="00B043B8"/>
    <w:rsid w:val="00B0768C"/>
    <w:rsid w:val="00B1397B"/>
    <w:rsid w:val="00B2030F"/>
    <w:rsid w:val="00B269B9"/>
    <w:rsid w:val="00B429AC"/>
    <w:rsid w:val="00B663CB"/>
    <w:rsid w:val="00B67216"/>
    <w:rsid w:val="00BA30EC"/>
    <w:rsid w:val="00BE6252"/>
    <w:rsid w:val="00C00C54"/>
    <w:rsid w:val="00C06713"/>
    <w:rsid w:val="00C158DA"/>
    <w:rsid w:val="00C645D5"/>
    <w:rsid w:val="00CA27C7"/>
    <w:rsid w:val="00CB24E6"/>
    <w:rsid w:val="00CC2FD1"/>
    <w:rsid w:val="00CE76CE"/>
    <w:rsid w:val="00CF1EEF"/>
    <w:rsid w:val="00D13FB8"/>
    <w:rsid w:val="00D301EF"/>
    <w:rsid w:val="00D30684"/>
    <w:rsid w:val="00D367B2"/>
    <w:rsid w:val="00D42D3E"/>
    <w:rsid w:val="00D526A4"/>
    <w:rsid w:val="00D80F16"/>
    <w:rsid w:val="00D90DB7"/>
    <w:rsid w:val="00E0353C"/>
    <w:rsid w:val="00E2679F"/>
    <w:rsid w:val="00E36A74"/>
    <w:rsid w:val="00E44A47"/>
    <w:rsid w:val="00E477B1"/>
    <w:rsid w:val="00E607E3"/>
    <w:rsid w:val="00EA0A3A"/>
    <w:rsid w:val="00ED6BF9"/>
    <w:rsid w:val="00EF52B6"/>
    <w:rsid w:val="00F05B84"/>
    <w:rsid w:val="00F174F4"/>
    <w:rsid w:val="00F21F91"/>
    <w:rsid w:val="00F31203"/>
    <w:rsid w:val="00F378E1"/>
    <w:rsid w:val="00F6302E"/>
    <w:rsid w:val="00F71F60"/>
    <w:rsid w:val="00F85EFB"/>
    <w:rsid w:val="00F92C1F"/>
    <w:rsid w:val="00FA4E90"/>
    <w:rsid w:val="00FA50EB"/>
    <w:rsid w:val="00FB0481"/>
    <w:rsid w:val="00FC02EB"/>
    <w:rsid w:val="00FD2A18"/>
    <w:rsid w:val="00FF6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B72EE"/>
  <w15:chartTrackingRefBased/>
  <w15:docId w15:val="{0AE59EC0-3080-4FE8-A82E-2CF2FEA9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8F"/>
    <w:rPr>
      <w:rFonts w:asciiTheme="minorHAnsi" w:hAnsiTheme="minorHAnsi"/>
      <w:lang w:val="en-US"/>
    </w:rPr>
  </w:style>
  <w:style w:type="paragraph" w:styleId="Heading1">
    <w:name w:val="heading 1"/>
    <w:basedOn w:val="Normal"/>
    <w:next w:val="Normal"/>
    <w:link w:val="Heading1Char"/>
    <w:uiPriority w:val="9"/>
    <w:qFormat/>
    <w:rsid w:val="009A3461"/>
    <w:pPr>
      <w:keepNext/>
      <w:keepLines/>
      <w:spacing w:line="264" w:lineRule="auto"/>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contextualSpacing/>
    </w:pPr>
    <w:rPr>
      <w:szCs w:val="20"/>
    </w:r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rPr>
      <w:lang w:val="en-GB"/>
    </w:r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pPr>
    <w:rPr>
      <w:color w:val="5A5A5A" w:themeColor="text1" w:themeTint="A5"/>
      <w:spacing w:val="15"/>
      <w:sz w:val="3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table" w:styleId="GridTable4-Accent1">
    <w:name w:val="Grid Table 4 Accent 1"/>
    <w:basedOn w:val="TableNormal"/>
    <w:uiPriority w:val="49"/>
    <w:rsid w:val="000C798F"/>
    <w:pPr>
      <w:spacing w:after="0" w:line="240" w:lineRule="auto"/>
    </w:pPr>
    <w:rPr>
      <w:rFonts w:asciiTheme="minorHAnsi" w:hAnsiTheme="minorHAnsi"/>
      <w:lang w:val="en-US"/>
    </w:rPr>
    <w:tblPr>
      <w:tblStyleRowBandSize w:val="1"/>
      <w:tblStyleColBandSize w:val="1"/>
      <w:tblBorders>
        <w:top w:val="single" w:sz="4" w:space="0" w:color="F5929F" w:themeColor="accent1" w:themeTint="99"/>
        <w:left w:val="single" w:sz="4" w:space="0" w:color="F5929F" w:themeColor="accent1" w:themeTint="99"/>
        <w:bottom w:val="single" w:sz="4" w:space="0" w:color="F5929F" w:themeColor="accent1" w:themeTint="99"/>
        <w:right w:val="single" w:sz="4" w:space="0" w:color="F5929F" w:themeColor="accent1" w:themeTint="99"/>
        <w:insideH w:val="single" w:sz="4" w:space="0" w:color="F5929F" w:themeColor="accent1" w:themeTint="99"/>
        <w:insideV w:val="single" w:sz="4" w:space="0" w:color="F5929F" w:themeColor="accent1" w:themeTint="99"/>
      </w:tblBorders>
    </w:tblPr>
    <w:tblStylePr w:type="firstRow">
      <w:rPr>
        <w:b/>
        <w:bCs/>
        <w:color w:val="FFFFFF" w:themeColor="background1"/>
      </w:rPr>
      <w:tblPr/>
      <w:tcPr>
        <w:tcBorders>
          <w:top w:val="single" w:sz="4" w:space="0" w:color="EF4A60" w:themeColor="accent1"/>
          <w:left w:val="single" w:sz="4" w:space="0" w:color="EF4A60" w:themeColor="accent1"/>
          <w:bottom w:val="single" w:sz="4" w:space="0" w:color="EF4A60" w:themeColor="accent1"/>
          <w:right w:val="single" w:sz="4" w:space="0" w:color="EF4A60" w:themeColor="accent1"/>
          <w:insideH w:val="nil"/>
          <w:insideV w:val="nil"/>
        </w:tcBorders>
        <w:shd w:val="clear" w:color="auto" w:fill="EF4A60" w:themeFill="accent1"/>
      </w:tcPr>
    </w:tblStylePr>
    <w:tblStylePr w:type="lastRow">
      <w:rPr>
        <w:b/>
        <w:bCs/>
      </w:rPr>
      <w:tblPr/>
      <w:tcPr>
        <w:tcBorders>
          <w:top w:val="double" w:sz="4" w:space="0" w:color="EF4A60" w:themeColor="accent1"/>
        </w:tcBorders>
      </w:tcPr>
    </w:tblStylePr>
    <w:tblStylePr w:type="firstCol">
      <w:rPr>
        <w:b/>
        <w:bCs/>
      </w:rPr>
    </w:tblStylePr>
    <w:tblStylePr w:type="lastCol">
      <w:rPr>
        <w:b/>
        <w:bCs/>
      </w:rPr>
    </w:tblStylePr>
    <w:tblStylePr w:type="band1Vert">
      <w:tblPr/>
      <w:tcPr>
        <w:shd w:val="clear" w:color="auto" w:fill="FBDADE" w:themeFill="accent1" w:themeFillTint="33"/>
      </w:tcPr>
    </w:tblStylePr>
    <w:tblStylePr w:type="band1Horz">
      <w:tblPr/>
      <w:tcPr>
        <w:shd w:val="clear" w:color="auto" w:fill="FBDADE" w:themeFill="accent1" w:themeFillTint="33"/>
      </w:tcPr>
    </w:tblStylePr>
  </w:style>
  <w:style w:type="paragraph" w:styleId="FootnoteText">
    <w:name w:val="footnote text"/>
    <w:aliases w:val="FOOTNOTES,fn,single space,single space Char,Footnote Text Char Char Char,Footnote Text1 Char,Footnote Text2,Footnote Text Char Char Char1 Char,Footnote Text Char Char Char1,ft,ADB,ALTS FOOTNOTE,Char Char Ch,footnote text,Footnote Text1,f"/>
    <w:basedOn w:val="Normal"/>
    <w:link w:val="FootnoteTextChar"/>
    <w:uiPriority w:val="99"/>
    <w:semiHidden/>
    <w:unhideWhenUsed/>
    <w:qFormat/>
    <w:rsid w:val="000C798F"/>
    <w:pPr>
      <w:spacing w:after="0" w:line="240" w:lineRule="auto"/>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semiHidden/>
    <w:rsid w:val="000C798F"/>
    <w:rPr>
      <w:rFonts w:asciiTheme="minorHAnsi" w:hAnsiTheme="minorHAnsi"/>
      <w:sz w:val="20"/>
      <w:szCs w:val="20"/>
      <w:lang w:val="en-US"/>
    </w:rPr>
  </w:style>
  <w:style w:type="character" w:styleId="FootnoteReference">
    <w:name w:val="footnote reference"/>
    <w:aliases w:val="ftref,BVI fnr Char Char Char Char Char Char Char1 Char Char Char Char Char Char,BVI fnr Car Car Char Char Char Char Char Char Char Char Char Char Char Char Char,BVI fnr Char Char Char Char Char Char Char1 Char Char,BVI fnr"/>
    <w:basedOn w:val="DefaultParagraphFont"/>
    <w:link w:val="BVIfnrCharCharCharCharCharCharChar1CharCharCharCharChar"/>
    <w:uiPriority w:val="99"/>
    <w:unhideWhenUsed/>
    <w:qFormat/>
    <w:rsid w:val="000C798F"/>
    <w:rPr>
      <w:vertAlign w:val="superscript"/>
    </w:rPr>
  </w:style>
  <w:style w:type="paragraph" w:customStyle="1" w:styleId="BVIfnrCharCharCharCharCharCharChar1CharCharCharCharChar">
    <w:name w:val="BVI fnr Char Char Char Char Char Char Char1 Char Char Char Char Char"/>
    <w:aliases w:val="BVI fnr Car Car Char Char Char Char Char Char Char Char Char Char Char Char,BVI fnr Car Char Char Char Char Char Char Char1 Char Char Char Char Char Char Char Char"/>
    <w:basedOn w:val="Normal"/>
    <w:link w:val="FootnoteReference"/>
    <w:uiPriority w:val="99"/>
    <w:rsid w:val="000C798F"/>
    <w:pPr>
      <w:spacing w:line="240" w:lineRule="exact"/>
      <w:jc w:val="both"/>
    </w:pPr>
    <w:rPr>
      <w:rFonts w:ascii="Arial" w:hAnsi="Arial"/>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Een nieuw document maken." ma:contentTypeScope="" ma:versionID="8be774968b06712ed1365b636592869f">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edba18280b42f5258f617a00f045fa34"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Props1.xml><?xml version="1.0" encoding="utf-8"?>
<ds:datastoreItem xmlns:ds="http://schemas.openxmlformats.org/officeDocument/2006/customXml" ds:itemID="{730E647B-35BA-4472-A6B8-46F200101F13}"/>
</file>

<file path=customXml/itemProps2.xml><?xml version="1.0" encoding="utf-8"?>
<ds:datastoreItem xmlns:ds="http://schemas.openxmlformats.org/officeDocument/2006/customXml" ds:itemID="{12813BC4-33E2-445B-AFC6-0525AEB56D91}"/>
</file>

<file path=customXml/itemProps3.xml><?xml version="1.0" encoding="utf-8"?>
<ds:datastoreItem xmlns:ds="http://schemas.openxmlformats.org/officeDocument/2006/customXml" ds:itemID="{A764FE53-C763-4376-9B2D-956BBE978BCF}"/>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Nicoletti</dc:creator>
  <cp:keywords/>
  <dc:description/>
  <cp:lastModifiedBy>Cecile</cp:lastModifiedBy>
  <cp:revision>2</cp:revision>
  <dcterms:created xsi:type="dcterms:W3CDTF">2022-06-02T12:11:00Z</dcterms:created>
  <dcterms:modified xsi:type="dcterms:W3CDTF">2022-06-02T12:11:00Z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ies>
</file>