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DAA87" w14:textId="0BB088DA" w:rsidR="00A51780" w:rsidRPr="00D65739" w:rsidRDefault="00A51780" w:rsidP="00D83350">
      <w:pPr>
        <w:pStyle w:val="Heading2"/>
        <w:jc w:val="both"/>
        <w:rPr>
          <w:lang w:val="en-US"/>
        </w:rPr>
      </w:pPr>
      <w:r w:rsidRPr="00D65739">
        <w:rPr>
          <w:lang w:val="en-US"/>
        </w:rPr>
        <w:t>Introduction</w:t>
      </w:r>
    </w:p>
    <w:p w14:paraId="51A4DF1B" w14:textId="1729B72D" w:rsidR="007C3FCF" w:rsidRDefault="008C45C1" w:rsidP="00D83350">
      <w:pPr>
        <w:jc w:val="both"/>
        <w:rPr>
          <w:szCs w:val="20"/>
        </w:rPr>
      </w:pPr>
      <w:r w:rsidRPr="008C45C1">
        <w:rPr>
          <w:szCs w:val="20"/>
        </w:rPr>
        <w:t>This guidance</w:t>
      </w:r>
      <w:r w:rsidR="003B239E">
        <w:rPr>
          <w:szCs w:val="20"/>
        </w:rPr>
        <w:t xml:space="preserve"> note</w:t>
      </w:r>
      <w:r w:rsidRPr="008C45C1">
        <w:rPr>
          <w:szCs w:val="20"/>
        </w:rPr>
        <w:t xml:space="preserve"> for the Joint Analysis is designed to assist </w:t>
      </w:r>
      <w:r w:rsidR="003B239E">
        <w:rPr>
          <w:szCs w:val="20"/>
        </w:rPr>
        <w:t>Protection cluster and AoRs</w:t>
      </w:r>
      <w:r w:rsidRPr="008C45C1">
        <w:rPr>
          <w:szCs w:val="20"/>
        </w:rPr>
        <w:t xml:space="preserve"> in conducting</w:t>
      </w:r>
      <w:r w:rsidR="007479E3">
        <w:rPr>
          <w:szCs w:val="20"/>
        </w:rPr>
        <w:t xml:space="preserve"> Cluster</w:t>
      </w:r>
      <w:r w:rsidRPr="008C45C1">
        <w:rPr>
          <w:szCs w:val="20"/>
        </w:rPr>
        <w:t xml:space="preserve"> analysis </w:t>
      </w:r>
      <w:r w:rsidR="003B239E">
        <w:rPr>
          <w:szCs w:val="20"/>
        </w:rPr>
        <w:t>for the</w:t>
      </w:r>
      <w:r w:rsidRPr="008C45C1">
        <w:rPr>
          <w:szCs w:val="20"/>
        </w:rPr>
        <w:t xml:space="preserve"> Humanitarian</w:t>
      </w:r>
      <w:r>
        <w:rPr>
          <w:szCs w:val="20"/>
        </w:rPr>
        <w:t xml:space="preserve"> </w:t>
      </w:r>
      <w:r w:rsidRPr="008C45C1">
        <w:rPr>
          <w:szCs w:val="20"/>
        </w:rPr>
        <w:t>Needs Overviews (HNOs) and subsequent</w:t>
      </w:r>
      <w:r>
        <w:rPr>
          <w:szCs w:val="20"/>
        </w:rPr>
        <w:t xml:space="preserve"> </w:t>
      </w:r>
      <w:r w:rsidRPr="008C45C1">
        <w:rPr>
          <w:szCs w:val="20"/>
        </w:rPr>
        <w:t xml:space="preserve">Humanitarian Response Plans (HRPs). </w:t>
      </w:r>
    </w:p>
    <w:p w14:paraId="0799DCCB" w14:textId="3E5C3D2C" w:rsidR="00FC42CD" w:rsidRDefault="0006392E" w:rsidP="00D83350">
      <w:pPr>
        <w:jc w:val="both"/>
        <w:rPr>
          <w:szCs w:val="20"/>
        </w:rPr>
      </w:pPr>
      <w:r>
        <w:rPr>
          <w:szCs w:val="20"/>
        </w:rPr>
        <w:t xml:space="preserve">The note </w:t>
      </w:r>
      <w:r w:rsidRPr="004764E3">
        <w:rPr>
          <w:szCs w:val="20"/>
        </w:rPr>
        <w:t>explain</w:t>
      </w:r>
      <w:r w:rsidR="00877E2D">
        <w:rPr>
          <w:szCs w:val="20"/>
        </w:rPr>
        <w:t>s</w:t>
      </w:r>
      <w:r w:rsidR="00407DE1">
        <w:rPr>
          <w:szCs w:val="20"/>
        </w:rPr>
        <w:t xml:space="preserve"> th</w:t>
      </w:r>
      <w:r w:rsidR="002239C2">
        <w:rPr>
          <w:szCs w:val="20"/>
        </w:rPr>
        <w:t>e</w:t>
      </w:r>
      <w:r w:rsidR="00B15859">
        <w:rPr>
          <w:szCs w:val="20"/>
        </w:rPr>
        <w:t xml:space="preserve"> process for</w:t>
      </w:r>
      <w:r w:rsidR="00407DE1">
        <w:rPr>
          <w:szCs w:val="20"/>
        </w:rPr>
        <w:t xml:space="preserve"> the </w:t>
      </w:r>
      <w:r w:rsidR="00B900EA">
        <w:rPr>
          <w:szCs w:val="20"/>
        </w:rPr>
        <w:t>Joint Analysis</w:t>
      </w:r>
      <w:r w:rsidR="00C45F96">
        <w:rPr>
          <w:szCs w:val="20"/>
        </w:rPr>
        <w:t xml:space="preserve"> which</w:t>
      </w:r>
      <w:r w:rsidR="00885F22">
        <w:rPr>
          <w:szCs w:val="20"/>
        </w:rPr>
        <w:t xml:space="preserve"> should be </w:t>
      </w:r>
      <w:r w:rsidR="007C3FCF">
        <w:rPr>
          <w:szCs w:val="20"/>
        </w:rPr>
        <w:t>c</w:t>
      </w:r>
      <w:r w:rsidR="00C45F96">
        <w:rPr>
          <w:szCs w:val="20"/>
        </w:rPr>
        <w:t>arried out</w:t>
      </w:r>
      <w:r w:rsidR="00885F22">
        <w:rPr>
          <w:szCs w:val="20"/>
        </w:rPr>
        <w:t xml:space="preserve"> </w:t>
      </w:r>
      <w:r w:rsidR="00F458F9">
        <w:rPr>
          <w:szCs w:val="20"/>
        </w:rPr>
        <w:t xml:space="preserve">after </w:t>
      </w:r>
      <w:r w:rsidR="00885F22">
        <w:rPr>
          <w:szCs w:val="20"/>
        </w:rPr>
        <w:t xml:space="preserve">the Protection Severity </w:t>
      </w:r>
      <w:r w:rsidR="00F458F9">
        <w:rPr>
          <w:szCs w:val="20"/>
        </w:rPr>
        <w:t>S</w:t>
      </w:r>
      <w:r w:rsidR="00885F22">
        <w:rPr>
          <w:szCs w:val="20"/>
        </w:rPr>
        <w:t>cale and Protection People in Need calculation</w:t>
      </w:r>
      <w:r w:rsidR="00F458F9">
        <w:rPr>
          <w:szCs w:val="20"/>
        </w:rPr>
        <w:t xml:space="preserve">s have been </w:t>
      </w:r>
      <w:r w:rsidR="00434132">
        <w:rPr>
          <w:szCs w:val="20"/>
        </w:rPr>
        <w:t>d</w:t>
      </w:r>
      <w:r w:rsidR="007C3FCF">
        <w:rPr>
          <w:szCs w:val="20"/>
        </w:rPr>
        <w:t>rafted</w:t>
      </w:r>
      <w:r w:rsidR="00885F22">
        <w:rPr>
          <w:szCs w:val="20"/>
        </w:rPr>
        <w:t>.</w:t>
      </w:r>
    </w:p>
    <w:p w14:paraId="277D3B63" w14:textId="3A2DB0CC" w:rsidR="00E62511" w:rsidRDefault="008D369F" w:rsidP="00D83350">
      <w:pPr>
        <w:jc w:val="both"/>
        <w:rPr>
          <w:szCs w:val="20"/>
        </w:rPr>
      </w:pPr>
      <w:r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5E444E0" wp14:editId="3C129D0B">
                <wp:simplePos x="0" y="0"/>
                <wp:positionH relativeFrom="margin">
                  <wp:posOffset>800100</wp:posOffset>
                </wp:positionH>
                <wp:positionV relativeFrom="paragraph">
                  <wp:posOffset>14605</wp:posOffset>
                </wp:positionV>
                <wp:extent cx="3905250" cy="1765300"/>
                <wp:effectExtent l="0" t="0" r="19050" b="2540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5250" cy="1765300"/>
                          <a:chOff x="0" y="0"/>
                          <a:chExt cx="5416550" cy="176530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5416550" cy="2413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298F3F" w14:textId="64C1256C" w:rsidR="00E62511" w:rsidRDefault="006268D5" w:rsidP="00E62511">
                              <w:pPr>
                                <w:jc w:val="center"/>
                              </w:pPr>
                              <w:r w:rsidRPr="00C45F96">
                                <w:rPr>
                                  <w:b/>
                                  <w:bCs/>
                                  <w:u w:val="single"/>
                                </w:rPr>
                                <w:t>Step 1:</w:t>
                              </w:r>
                              <w:r>
                                <w:t xml:space="preserve"> </w:t>
                              </w:r>
                              <w:r w:rsidR="00E62511">
                                <w:t>Protection &amp; AoRs Severity Scores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Arrow: Down 9"/>
                        <wps:cNvSpPr/>
                        <wps:spPr>
                          <a:xfrm>
                            <a:off x="2400300" y="273050"/>
                            <a:ext cx="311150" cy="4445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762000"/>
                            <a:ext cx="5416550" cy="2413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1A4095" w14:textId="67C87E0D" w:rsidR="00E62511" w:rsidRDefault="006268D5" w:rsidP="00E62511">
                              <w:pPr>
                                <w:jc w:val="center"/>
                              </w:pPr>
                              <w:r w:rsidRPr="00C45F96">
                                <w:rPr>
                                  <w:b/>
                                  <w:bCs/>
                                  <w:u w:val="single"/>
                                </w:rPr>
                                <w:t>Step 2:</w:t>
                              </w:r>
                              <w:r>
                                <w:t xml:space="preserve"> </w:t>
                              </w:r>
                              <w:r w:rsidR="00E62511">
                                <w:t>Protection &amp; AoRs People in Need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Arrow: Down 11"/>
                        <wps:cNvSpPr/>
                        <wps:spPr>
                          <a:xfrm>
                            <a:off x="2387600" y="1028700"/>
                            <a:ext cx="311150" cy="4445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1524000"/>
                            <a:ext cx="5416550" cy="2413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85D0E3" w14:textId="0317F334" w:rsidR="00E62511" w:rsidRDefault="006268D5" w:rsidP="00E62511">
                              <w:pPr>
                                <w:jc w:val="center"/>
                              </w:pPr>
                              <w:r w:rsidRPr="00C45F96">
                                <w:rPr>
                                  <w:b/>
                                  <w:bCs/>
                                  <w:u w:val="single"/>
                                </w:rPr>
                                <w:t>Step 3:</w:t>
                              </w:r>
                              <w:r>
                                <w:t xml:space="preserve"> </w:t>
                              </w:r>
                              <w:r w:rsidR="00E62511">
                                <w:t>Protection &amp; AoRs Joint Analysis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5E444E0" id="Group 14" o:spid="_x0000_s1026" style="position:absolute;left:0;text-align:left;margin-left:63pt;margin-top:1.15pt;width:307.5pt;height:139pt;z-index:251667456;mso-position-horizontal-relative:margin;mso-width-relative:margin" coordsize="54165,17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">
                <v:rect id="Rectangle 7" o:spid="_x0000_s1027" style="position:absolute;width:54165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" fillcolor="#3db2ff [1951]" strokecolor="#00b050" strokeweight="1pt">
                  <v:textbox>
                    <w:txbxContent>
                      <w:p w14:paraId="69298F3F" w14:textId="64C1256C" w:rsidR="00E62511" w:rsidRDefault="006268D5" w:rsidP="00E62511">
                        <w:pPr>
                          <w:jc w:val="center"/>
                        </w:pPr>
                        <w:r w:rsidRPr="00C45F96">
                          <w:rPr>
                            <w:b/>
                            <w:bCs/>
                            <w:u w:val="single"/>
                          </w:rPr>
                          <w:t>Step 1:</w:t>
                        </w:r>
                        <w:r>
                          <w:t xml:space="preserve"> </w:t>
                        </w:r>
                        <w:r w:rsidR="00E62511">
                          <w:t>Protection &amp; AoRs Severity Scores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rrow: Down 9" o:spid="_x0000_s1028" type="#_x0000_t67" style="position:absolute;left:24003;top:2730;width:3111;height:4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" adj="14040" fillcolor="#ef4a60 [3204]" strokecolor="#8e0c1e [1604]" strokeweight="1pt"/>
                <v:rect id="Rectangle 10" o:spid="_x0000_s1029" style="position:absolute;top:7620;width:54165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" fillcolor="#3db2ff [1951]" strokecolor="#00b050" strokeweight="1pt">
                  <v:textbox>
                    <w:txbxContent>
                      <w:p w14:paraId="3C1A4095" w14:textId="67C87E0D" w:rsidR="00E62511" w:rsidRDefault="006268D5" w:rsidP="00E62511">
                        <w:pPr>
                          <w:jc w:val="center"/>
                        </w:pPr>
                        <w:r w:rsidRPr="00C45F96">
                          <w:rPr>
                            <w:b/>
                            <w:bCs/>
                            <w:u w:val="single"/>
                          </w:rPr>
                          <w:t>Step 2:</w:t>
                        </w:r>
                        <w:r>
                          <w:t xml:space="preserve"> </w:t>
                        </w:r>
                        <w:r w:rsidR="00E62511">
                          <w:t>Protection &amp; AoRs People in Need</w:t>
                        </w:r>
                      </w:p>
                    </w:txbxContent>
                  </v:textbox>
                </v:rect>
                <v:shape id="Arrow: Down 11" o:spid="_x0000_s1030" type="#_x0000_t67" style="position:absolute;left:23876;top:10287;width:3111;height:4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" adj="14040" fillcolor="#ef4a60 [3204]" strokecolor="#8e0c1e [1604]" strokeweight="1pt"/>
                <v:rect id="Rectangle 13" o:spid="_x0000_s1031" style="position:absolute;top:15240;width:54165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" fillcolor="#3db2ff [1951]" strokecolor="#00b050" strokeweight="1pt">
                  <v:textbox>
                    <w:txbxContent>
                      <w:p w14:paraId="3585D0E3" w14:textId="0317F334" w:rsidR="00E62511" w:rsidRDefault="006268D5" w:rsidP="00E62511">
                        <w:pPr>
                          <w:jc w:val="center"/>
                        </w:pPr>
                        <w:r w:rsidRPr="00C45F96">
                          <w:rPr>
                            <w:b/>
                            <w:bCs/>
                            <w:u w:val="single"/>
                          </w:rPr>
                          <w:t>Step 3:</w:t>
                        </w:r>
                        <w:r>
                          <w:t xml:space="preserve"> </w:t>
                        </w:r>
                        <w:r w:rsidR="00E62511">
                          <w:t>Protection &amp; AoRs Joint Analysis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06D80766" w14:textId="54A1F001" w:rsidR="00E62511" w:rsidRDefault="00E62511" w:rsidP="00D83350">
      <w:pPr>
        <w:jc w:val="both"/>
        <w:rPr>
          <w:szCs w:val="20"/>
        </w:rPr>
      </w:pPr>
    </w:p>
    <w:p w14:paraId="45CBD4E2" w14:textId="5CA6360F" w:rsidR="00E62511" w:rsidRDefault="00E62511" w:rsidP="00D83350">
      <w:pPr>
        <w:jc w:val="both"/>
      </w:pPr>
    </w:p>
    <w:p w14:paraId="60A14A0C" w14:textId="564BE493" w:rsidR="00E62511" w:rsidRDefault="00E62511" w:rsidP="00D83350">
      <w:pPr>
        <w:jc w:val="both"/>
      </w:pPr>
    </w:p>
    <w:p w14:paraId="45A30EF0" w14:textId="0B65D439" w:rsidR="00E62511" w:rsidRDefault="00E62511" w:rsidP="00D83350">
      <w:pPr>
        <w:jc w:val="both"/>
      </w:pPr>
    </w:p>
    <w:p w14:paraId="5C8B4195" w14:textId="28E5E7A7" w:rsidR="00C270C5" w:rsidRDefault="00C270C5" w:rsidP="00D8335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F4BCE6" wp14:editId="176FFD90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3282950" cy="247650"/>
                <wp:effectExtent l="0" t="0" r="1270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9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7AD99" w14:textId="54ED4883" w:rsidR="00C270C5" w:rsidRPr="00C270C5" w:rsidRDefault="00C270C5">
                            <w:pPr>
                              <w:rPr>
                                <w:i/>
                                <w:iCs/>
                                <w:sz w:val="18"/>
                                <w:szCs w:val="22"/>
                              </w:rPr>
                            </w:pPr>
                            <w:r w:rsidRPr="00C270C5">
                              <w:rPr>
                                <w:i/>
                                <w:iCs/>
                                <w:sz w:val="18"/>
                                <w:szCs w:val="22"/>
                              </w:rPr>
                              <w:t>Figure 1: Visual representation of the</w:t>
                            </w:r>
                            <w:r w:rsidR="006268D5">
                              <w:rPr>
                                <w:i/>
                                <w:iCs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C270C5">
                              <w:rPr>
                                <w:i/>
                                <w:iCs/>
                                <w:sz w:val="18"/>
                                <w:szCs w:val="22"/>
                              </w:rPr>
                              <w:t>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4BCE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2" type="#_x0000_t202" style="position:absolute;left:0;text-align:left;margin-left:0;margin-top:1.65pt;width:258.5pt;height:19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" fillcolor="white [3201]" strokeweight=".5pt">
                <v:textbox>
                  <w:txbxContent>
                    <w:p w14:paraId="58F7AD99" w14:textId="54ED4883" w:rsidR="00C270C5" w:rsidRPr="00C270C5" w:rsidRDefault="00C270C5">
                      <w:pPr>
                        <w:rPr>
                          <w:i/>
                          <w:iCs/>
                          <w:sz w:val="18"/>
                          <w:szCs w:val="22"/>
                        </w:rPr>
                      </w:pPr>
                      <w:r w:rsidRPr="00C270C5">
                        <w:rPr>
                          <w:i/>
                          <w:iCs/>
                          <w:sz w:val="18"/>
                          <w:szCs w:val="22"/>
                        </w:rPr>
                        <w:t>Figure 1: Visual representation of the</w:t>
                      </w:r>
                      <w:r w:rsidR="006268D5">
                        <w:rPr>
                          <w:i/>
                          <w:iCs/>
                          <w:sz w:val="18"/>
                          <w:szCs w:val="22"/>
                        </w:rPr>
                        <w:t xml:space="preserve"> </w:t>
                      </w:r>
                      <w:r w:rsidRPr="00C270C5">
                        <w:rPr>
                          <w:i/>
                          <w:iCs/>
                          <w:sz w:val="18"/>
                          <w:szCs w:val="22"/>
                        </w:rPr>
                        <w:t>process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D80047" w14:textId="26A2910B" w:rsidR="006452C0" w:rsidRPr="00D65739" w:rsidRDefault="006452C0" w:rsidP="00D83350">
      <w:pPr>
        <w:pStyle w:val="Heading2"/>
        <w:jc w:val="both"/>
        <w:rPr>
          <w:lang w:val="en-US"/>
        </w:rPr>
      </w:pPr>
      <w:r w:rsidRPr="00D65739">
        <w:rPr>
          <w:lang w:val="en-US"/>
        </w:rPr>
        <w:t>P</w:t>
      </w:r>
      <w:r w:rsidR="00CC083B" w:rsidRPr="00CC083B">
        <w:rPr>
          <w:lang w:val="en-US"/>
        </w:rPr>
        <w:t>rotection Joint Analysis</w:t>
      </w:r>
    </w:p>
    <w:p w14:paraId="342852AE" w14:textId="221941E5" w:rsidR="002F7D57" w:rsidRPr="002F7D57" w:rsidRDefault="009529BD" w:rsidP="00D83350">
      <w:pPr>
        <w:jc w:val="both"/>
        <w:rPr>
          <w:szCs w:val="20"/>
        </w:rPr>
      </w:pPr>
      <w:r>
        <w:rPr>
          <w:szCs w:val="20"/>
        </w:rPr>
        <w:t xml:space="preserve">During the data analysis stage of the HNO, Severity </w:t>
      </w:r>
      <w:r w:rsidR="00255C25">
        <w:rPr>
          <w:szCs w:val="20"/>
        </w:rPr>
        <w:t>ranking,</w:t>
      </w:r>
      <w:r>
        <w:rPr>
          <w:szCs w:val="20"/>
        </w:rPr>
        <w:t xml:space="preserve"> and People in Need calculations are </w:t>
      </w:r>
      <w:r w:rsidR="00255C25">
        <w:rPr>
          <w:szCs w:val="20"/>
        </w:rPr>
        <w:t>completed</w:t>
      </w:r>
      <w:r>
        <w:rPr>
          <w:szCs w:val="20"/>
        </w:rPr>
        <w:t xml:space="preserve"> and presented as </w:t>
      </w:r>
      <w:r w:rsidR="000D1B81">
        <w:rPr>
          <w:szCs w:val="20"/>
        </w:rPr>
        <w:t xml:space="preserve">a </w:t>
      </w:r>
      <w:r>
        <w:rPr>
          <w:szCs w:val="20"/>
        </w:rPr>
        <w:t xml:space="preserve">draft for endorsement. </w:t>
      </w:r>
      <w:r w:rsidR="001E1216">
        <w:rPr>
          <w:szCs w:val="20"/>
        </w:rPr>
        <w:t xml:space="preserve">During the Joint Analysis </w:t>
      </w:r>
      <w:r w:rsidR="00774603">
        <w:rPr>
          <w:szCs w:val="20"/>
        </w:rPr>
        <w:t>phase,</w:t>
      </w:r>
      <w:r w:rsidR="001E1216">
        <w:rPr>
          <w:szCs w:val="20"/>
        </w:rPr>
        <w:t xml:space="preserve"> </w:t>
      </w:r>
      <w:r w:rsidR="002F7D57" w:rsidRPr="002F7D57">
        <w:rPr>
          <w:szCs w:val="20"/>
        </w:rPr>
        <w:t xml:space="preserve">the Protection, AoRs partners and stakeholders </w:t>
      </w:r>
      <w:r w:rsidR="001E1216">
        <w:rPr>
          <w:szCs w:val="20"/>
        </w:rPr>
        <w:t xml:space="preserve">work on </w:t>
      </w:r>
      <w:r w:rsidR="002F7D57" w:rsidRPr="002F7D57">
        <w:rPr>
          <w:szCs w:val="20"/>
        </w:rPr>
        <w:t xml:space="preserve">the </w:t>
      </w:r>
      <w:r w:rsidR="00774603">
        <w:rPr>
          <w:szCs w:val="20"/>
        </w:rPr>
        <w:t>review of the results and findings coming from the data analysis. These results are finally endorsed based on the discussions</w:t>
      </w:r>
      <w:r w:rsidR="00B94D70">
        <w:rPr>
          <w:szCs w:val="20"/>
        </w:rPr>
        <w:t xml:space="preserve"> / group work</w:t>
      </w:r>
      <w:r w:rsidR="00774603">
        <w:rPr>
          <w:szCs w:val="20"/>
        </w:rPr>
        <w:t xml:space="preserve"> carried out during the Joint Analysis</w:t>
      </w:r>
      <w:r w:rsidR="000D1B81">
        <w:rPr>
          <w:szCs w:val="20"/>
        </w:rPr>
        <w:t xml:space="preserve"> stage</w:t>
      </w:r>
      <w:r w:rsidR="002F7D57" w:rsidRPr="002F7D57">
        <w:rPr>
          <w:szCs w:val="20"/>
        </w:rPr>
        <w:t xml:space="preserve">. </w:t>
      </w:r>
    </w:p>
    <w:p w14:paraId="643B1231" w14:textId="6D598F47" w:rsidR="002F7D57" w:rsidRDefault="00774603" w:rsidP="00D83350">
      <w:pPr>
        <w:jc w:val="both"/>
        <w:rPr>
          <w:szCs w:val="20"/>
        </w:rPr>
      </w:pPr>
      <w:r>
        <w:rPr>
          <w:szCs w:val="20"/>
        </w:rPr>
        <w:t xml:space="preserve">The </w:t>
      </w:r>
      <w:r w:rsidR="002F7D57" w:rsidRPr="002F7D57">
        <w:rPr>
          <w:szCs w:val="20"/>
        </w:rPr>
        <w:t xml:space="preserve">Joint Analysis </w:t>
      </w:r>
      <w:r>
        <w:rPr>
          <w:szCs w:val="20"/>
        </w:rPr>
        <w:t xml:space="preserve">process </w:t>
      </w:r>
      <w:r w:rsidR="002F7D57" w:rsidRPr="002F7D57">
        <w:rPr>
          <w:szCs w:val="20"/>
        </w:rPr>
        <w:t>can follow several formats such as meetings, webinars or workshop</w:t>
      </w:r>
      <w:r w:rsidR="000D1B81">
        <w:rPr>
          <w:szCs w:val="20"/>
        </w:rPr>
        <w:t xml:space="preserve"> setting</w:t>
      </w:r>
      <w:r w:rsidR="002F7D57" w:rsidRPr="002F7D57">
        <w:rPr>
          <w:szCs w:val="20"/>
        </w:rPr>
        <w:t xml:space="preserve"> depending </w:t>
      </w:r>
      <w:r w:rsidR="000D1B81">
        <w:rPr>
          <w:szCs w:val="20"/>
        </w:rPr>
        <w:t>up</w:t>
      </w:r>
      <w:r w:rsidR="002F7D57" w:rsidRPr="002F7D57">
        <w:rPr>
          <w:szCs w:val="20"/>
        </w:rPr>
        <w:t xml:space="preserve">on the context. </w:t>
      </w:r>
    </w:p>
    <w:p w14:paraId="046988D9" w14:textId="663CFAFB" w:rsidR="00F756BF" w:rsidRPr="00D65739" w:rsidRDefault="002F7D57" w:rsidP="00D83350">
      <w:pPr>
        <w:pStyle w:val="Heading3"/>
        <w:jc w:val="both"/>
      </w:pPr>
      <w:r>
        <w:t>Objective</w:t>
      </w:r>
    </w:p>
    <w:p w14:paraId="12823340" w14:textId="6BA06DD4" w:rsidR="00F756BF" w:rsidRDefault="002F7D57" w:rsidP="00D83350">
      <w:pPr>
        <w:jc w:val="both"/>
      </w:pPr>
      <w:r w:rsidRPr="002F7D57">
        <w:t xml:space="preserve">The main objective of a joint analysis exercise is to </w:t>
      </w:r>
      <w:r w:rsidR="00D9474B">
        <w:t>secure a</w:t>
      </w:r>
      <w:r w:rsidRPr="002F7D57">
        <w:t xml:space="preserve"> consensus on the Severity ranking, People in Need (PiN) figures, priority protection threats etc.</w:t>
      </w:r>
      <w:r w:rsidR="00D9474B">
        <w:t xml:space="preserve"> </w:t>
      </w:r>
      <w:r w:rsidRPr="002F7D57">
        <w:t xml:space="preserve">The inclusion and participation of Protection </w:t>
      </w:r>
      <w:r w:rsidR="008B7560" w:rsidRPr="002F7D57">
        <w:t>actors’</w:t>
      </w:r>
      <w:r w:rsidRPr="002F7D57">
        <w:t xml:space="preserve"> partners and stakeholders in this process is </w:t>
      </w:r>
      <w:r w:rsidR="00C132F3" w:rsidRPr="002F7D57">
        <w:t>critical</w:t>
      </w:r>
      <w:r w:rsidR="00CA0EA3">
        <w:t>.</w:t>
      </w:r>
    </w:p>
    <w:p w14:paraId="38D8F064" w14:textId="3C91D065" w:rsidR="007C1CB6" w:rsidRDefault="00222723" w:rsidP="00D83350">
      <w:pPr>
        <w:pStyle w:val="Heading2"/>
        <w:jc w:val="both"/>
        <w:rPr>
          <w:lang w:val="en-US"/>
        </w:rPr>
      </w:pPr>
      <w:r>
        <w:rPr>
          <w:lang w:val="en-US"/>
        </w:rPr>
        <w:lastRenderedPageBreak/>
        <w:t>Joint Analysis Process</w:t>
      </w:r>
    </w:p>
    <w:p w14:paraId="5417A332" w14:textId="7A4DAEF0" w:rsidR="00732CDE" w:rsidRDefault="00A67D73" w:rsidP="00D83350">
      <w:pPr>
        <w:jc w:val="both"/>
      </w:pPr>
      <w:r w:rsidRPr="00A67D73">
        <w:t>Cluster and AoRs</w:t>
      </w:r>
      <w:r w:rsidR="004D0940">
        <w:t xml:space="preserve"> should</w:t>
      </w:r>
      <w:r w:rsidRPr="00A67D73">
        <w:t xml:space="preserve"> have finalized the draft </w:t>
      </w:r>
      <w:r w:rsidR="00BE3AE1">
        <w:t>S</w:t>
      </w:r>
      <w:r w:rsidRPr="00A67D73">
        <w:t xml:space="preserve">everity ranking, PiN, priority threats </w:t>
      </w:r>
      <w:r w:rsidR="004D0940" w:rsidRPr="00A67D73">
        <w:t>etc.</w:t>
      </w:r>
      <w:r w:rsidR="004D0940">
        <w:t xml:space="preserve"> b</w:t>
      </w:r>
      <w:r w:rsidR="004D0940" w:rsidRPr="00A67D73">
        <w:t>efore organizing a joint analysis session</w:t>
      </w:r>
      <w:r w:rsidRPr="00A67D73">
        <w:t>.</w:t>
      </w:r>
      <w:r>
        <w:t xml:space="preserve"> </w:t>
      </w:r>
      <w:r w:rsidR="008B7560" w:rsidRPr="008B7560">
        <w:t xml:space="preserve">Protection Cluster and AoRs can choose </w:t>
      </w:r>
      <w:r w:rsidR="00732CDE">
        <w:t>to either host a one joint session or alternatel</w:t>
      </w:r>
      <w:r w:rsidR="00816F46">
        <w:t>y</w:t>
      </w:r>
      <w:r w:rsidR="00732CDE">
        <w:t xml:space="preserve"> separate sessions with their </w:t>
      </w:r>
      <w:r w:rsidR="00732CDE" w:rsidRPr="00732CDE">
        <w:t>constituencies</w:t>
      </w:r>
      <w:r w:rsidR="00732CDE">
        <w:t xml:space="preserve">. </w:t>
      </w:r>
    </w:p>
    <w:p w14:paraId="69B9CB49" w14:textId="3ADF274D" w:rsidR="0006392E" w:rsidRDefault="00732CDE" w:rsidP="00D83350">
      <w:pPr>
        <w:jc w:val="both"/>
        <w:rPr>
          <w:szCs w:val="20"/>
        </w:rPr>
      </w:pPr>
      <w:r>
        <w:rPr>
          <w:szCs w:val="20"/>
        </w:rPr>
        <w:t xml:space="preserve">A joint session </w:t>
      </w:r>
      <w:r w:rsidR="006D212B">
        <w:rPr>
          <w:szCs w:val="20"/>
        </w:rPr>
        <w:t>on analysis by</w:t>
      </w:r>
      <w:r>
        <w:rPr>
          <w:szCs w:val="20"/>
        </w:rPr>
        <w:t xml:space="preserve"> Protection cluster and the AoRs wi</w:t>
      </w:r>
      <w:r w:rsidR="008B7560" w:rsidRPr="008B7560">
        <w:rPr>
          <w:szCs w:val="20"/>
        </w:rPr>
        <w:t>ll send out a message of</w:t>
      </w:r>
      <w:r>
        <w:rPr>
          <w:szCs w:val="20"/>
        </w:rPr>
        <w:t xml:space="preserve"> collaboration and cooperation</w:t>
      </w:r>
      <w:r w:rsidR="008B7560" w:rsidRPr="008B7560">
        <w:rPr>
          <w:szCs w:val="20"/>
        </w:rPr>
        <w:t xml:space="preserve"> on the protection analysis</w:t>
      </w:r>
      <w:r w:rsidR="0006392E" w:rsidRPr="004764E3">
        <w:rPr>
          <w:szCs w:val="20"/>
        </w:rPr>
        <w:t>.</w:t>
      </w:r>
    </w:p>
    <w:p w14:paraId="6450460A" w14:textId="1690E58A" w:rsidR="00DE5E24" w:rsidRDefault="006D212B" w:rsidP="00D83350">
      <w:pPr>
        <w:jc w:val="both"/>
        <w:rPr>
          <w:szCs w:val="20"/>
        </w:rPr>
      </w:pPr>
      <w:r>
        <w:rPr>
          <w:szCs w:val="20"/>
        </w:rPr>
        <w:t xml:space="preserve">In the case of </w:t>
      </w:r>
      <w:r w:rsidR="00A67D73" w:rsidRPr="00A67D73">
        <w:rPr>
          <w:szCs w:val="20"/>
        </w:rPr>
        <w:t xml:space="preserve">AoRs </w:t>
      </w:r>
      <w:r>
        <w:rPr>
          <w:szCs w:val="20"/>
        </w:rPr>
        <w:t xml:space="preserve">convening </w:t>
      </w:r>
      <w:r w:rsidR="00A67D73" w:rsidRPr="00A67D73">
        <w:rPr>
          <w:szCs w:val="20"/>
        </w:rPr>
        <w:t xml:space="preserve">their own joint analysis sessions with their </w:t>
      </w:r>
      <w:r w:rsidR="00F15626" w:rsidRPr="00A67D73">
        <w:rPr>
          <w:szCs w:val="20"/>
        </w:rPr>
        <w:t>constituencie</w:t>
      </w:r>
      <w:r w:rsidR="00F15626">
        <w:rPr>
          <w:szCs w:val="20"/>
        </w:rPr>
        <w:t>s, it</w:t>
      </w:r>
      <w:r>
        <w:rPr>
          <w:szCs w:val="20"/>
        </w:rPr>
        <w:t xml:space="preserve"> is recommended that it happens after the </w:t>
      </w:r>
      <w:r w:rsidR="00A67D73" w:rsidRPr="00A67D73">
        <w:rPr>
          <w:szCs w:val="20"/>
        </w:rPr>
        <w:t xml:space="preserve">joint analysis session </w:t>
      </w:r>
      <w:r>
        <w:rPr>
          <w:szCs w:val="20"/>
        </w:rPr>
        <w:t xml:space="preserve">for </w:t>
      </w:r>
      <w:r w:rsidR="00A67D73" w:rsidRPr="00A67D73">
        <w:rPr>
          <w:szCs w:val="20"/>
        </w:rPr>
        <w:t xml:space="preserve">Protection Cluster has </w:t>
      </w:r>
      <w:r>
        <w:rPr>
          <w:szCs w:val="20"/>
        </w:rPr>
        <w:t xml:space="preserve">been </w:t>
      </w:r>
      <w:r w:rsidR="00EE7A4D" w:rsidRPr="00A67D73">
        <w:rPr>
          <w:szCs w:val="20"/>
        </w:rPr>
        <w:t>finalized</w:t>
      </w:r>
      <w:r w:rsidR="00455845">
        <w:rPr>
          <w:szCs w:val="20"/>
        </w:rPr>
        <w:t xml:space="preserve">. </w:t>
      </w:r>
      <w:r w:rsidR="00EE7A4D">
        <w:rPr>
          <w:szCs w:val="20"/>
        </w:rPr>
        <w:t>This will ensure</w:t>
      </w:r>
      <w:r w:rsidR="00A67D73" w:rsidRPr="00A67D73">
        <w:rPr>
          <w:szCs w:val="20"/>
        </w:rPr>
        <w:t xml:space="preserve"> </w:t>
      </w:r>
      <w:r w:rsidR="00EE7A4D">
        <w:rPr>
          <w:szCs w:val="20"/>
        </w:rPr>
        <w:t xml:space="preserve">if </w:t>
      </w:r>
      <w:r w:rsidR="00A67D73" w:rsidRPr="00A67D73">
        <w:rPr>
          <w:szCs w:val="20"/>
        </w:rPr>
        <w:t>overarching severity and PiN</w:t>
      </w:r>
      <w:r w:rsidR="00EE7A4D">
        <w:rPr>
          <w:szCs w:val="20"/>
        </w:rPr>
        <w:t xml:space="preserve"> is</w:t>
      </w:r>
      <w:r w:rsidR="00A67D73" w:rsidRPr="00A67D73">
        <w:rPr>
          <w:szCs w:val="20"/>
        </w:rPr>
        <w:t xml:space="preserve"> modified and threats </w:t>
      </w:r>
      <w:r w:rsidR="00EE7A4D">
        <w:rPr>
          <w:szCs w:val="20"/>
        </w:rPr>
        <w:t xml:space="preserve">are </w:t>
      </w:r>
      <w:r w:rsidR="00A67D73" w:rsidRPr="00A67D73">
        <w:rPr>
          <w:szCs w:val="20"/>
        </w:rPr>
        <w:t>reviewed</w:t>
      </w:r>
      <w:r w:rsidR="00B54D8C">
        <w:rPr>
          <w:szCs w:val="20"/>
        </w:rPr>
        <w:t>,</w:t>
      </w:r>
      <w:r w:rsidR="00A67D73" w:rsidRPr="00A67D73">
        <w:rPr>
          <w:szCs w:val="20"/>
        </w:rPr>
        <w:t xml:space="preserve"> AoR</w:t>
      </w:r>
      <w:r w:rsidR="00B54D8C">
        <w:rPr>
          <w:szCs w:val="20"/>
        </w:rPr>
        <w:t xml:space="preserve">s can take </w:t>
      </w:r>
      <w:r w:rsidR="007B221B">
        <w:rPr>
          <w:szCs w:val="20"/>
        </w:rPr>
        <w:t>that</w:t>
      </w:r>
      <w:r w:rsidR="00B54D8C">
        <w:rPr>
          <w:szCs w:val="20"/>
        </w:rPr>
        <w:t xml:space="preserve"> </w:t>
      </w:r>
      <w:r w:rsidR="00C132F3">
        <w:rPr>
          <w:szCs w:val="20"/>
        </w:rPr>
        <w:t>into</w:t>
      </w:r>
      <w:r w:rsidR="00B54D8C">
        <w:rPr>
          <w:szCs w:val="20"/>
        </w:rPr>
        <w:t xml:space="preserve"> account</w:t>
      </w:r>
      <w:r w:rsidR="00422A66">
        <w:rPr>
          <w:szCs w:val="20"/>
        </w:rPr>
        <w:t xml:space="preserve"> during the</w:t>
      </w:r>
      <w:r w:rsidR="00E84875">
        <w:rPr>
          <w:szCs w:val="20"/>
        </w:rPr>
        <w:t>ir joint analysis</w:t>
      </w:r>
      <w:r w:rsidR="00422A66">
        <w:rPr>
          <w:szCs w:val="20"/>
        </w:rPr>
        <w:t xml:space="preserve"> workshop</w:t>
      </w:r>
      <w:r w:rsidR="00E84875">
        <w:rPr>
          <w:szCs w:val="20"/>
        </w:rPr>
        <w:t>(s)</w:t>
      </w:r>
      <w:r w:rsidR="00A67D73" w:rsidRPr="00A67D73">
        <w:rPr>
          <w:szCs w:val="20"/>
        </w:rPr>
        <w:t>.</w:t>
      </w:r>
    </w:p>
    <w:p w14:paraId="275026AA" w14:textId="14C84BAB" w:rsidR="00852E7C" w:rsidRDefault="006D6B96" w:rsidP="00D83350">
      <w:pPr>
        <w:pStyle w:val="Heading3"/>
        <w:jc w:val="both"/>
      </w:pPr>
      <w:r>
        <w:t>Workshop Modality</w:t>
      </w:r>
    </w:p>
    <w:p w14:paraId="6DCF7DAC" w14:textId="6D3064BA" w:rsidR="00C132F3" w:rsidRPr="00C132F3" w:rsidRDefault="001C160F" w:rsidP="00D83350">
      <w:pPr>
        <w:jc w:val="both"/>
      </w:pPr>
      <w:r>
        <w:t xml:space="preserve">The Joint Analysis </w:t>
      </w:r>
      <w:r w:rsidR="003824E2">
        <w:t xml:space="preserve">workshops </w:t>
      </w:r>
      <w:r>
        <w:t>can either be o</w:t>
      </w:r>
      <w:r w:rsidR="00C132F3" w:rsidRPr="00C132F3">
        <w:t>rganize</w:t>
      </w:r>
      <w:r>
        <w:t>d, first</w:t>
      </w:r>
      <w:r w:rsidR="00C132F3" w:rsidRPr="00C132F3">
        <w:t xml:space="preserve"> at </w:t>
      </w:r>
      <w:r>
        <w:t xml:space="preserve">the </w:t>
      </w:r>
      <w:r w:rsidR="00C132F3" w:rsidRPr="00C132F3">
        <w:t>sub-national level</w:t>
      </w:r>
      <w:r w:rsidR="003824E2">
        <w:t>. Subsequently, t</w:t>
      </w:r>
      <w:r>
        <w:t xml:space="preserve">he results of these workshops can </w:t>
      </w:r>
      <w:r w:rsidR="001D1AB5">
        <w:t>feed</w:t>
      </w:r>
      <w:r>
        <w:t xml:space="preserve"> </w:t>
      </w:r>
      <w:r w:rsidR="006D6B96">
        <w:t>into</w:t>
      </w:r>
      <w:r>
        <w:t xml:space="preserve"> the </w:t>
      </w:r>
      <w:r w:rsidR="00C132F3" w:rsidRPr="00C132F3">
        <w:t>final national level joint analysis session</w:t>
      </w:r>
      <w:r>
        <w:t xml:space="preserve"> or workshop</w:t>
      </w:r>
      <w:r w:rsidR="00C132F3" w:rsidRPr="00C132F3">
        <w:t>.</w:t>
      </w:r>
      <w:r>
        <w:t xml:space="preserve"> </w:t>
      </w:r>
      <w:r w:rsidR="00C132F3" w:rsidRPr="00C132F3">
        <w:t xml:space="preserve">This </w:t>
      </w:r>
      <w:r w:rsidR="0073059B">
        <w:t>modality</w:t>
      </w:r>
      <w:r w:rsidR="00C132F3" w:rsidRPr="00C132F3">
        <w:t xml:space="preserve"> will ensure the</w:t>
      </w:r>
      <w:r w:rsidR="0073059B">
        <w:t xml:space="preserve"> buy in, </w:t>
      </w:r>
      <w:r w:rsidR="00C132F3" w:rsidRPr="00C132F3">
        <w:t xml:space="preserve">participation and inclusion of national and local partners and stakeholders </w:t>
      </w:r>
      <w:r w:rsidR="0073059B">
        <w:t>in the process</w:t>
      </w:r>
      <w:r w:rsidR="00C132F3" w:rsidRPr="00C132F3">
        <w:t xml:space="preserve">. </w:t>
      </w:r>
    </w:p>
    <w:p w14:paraId="31AA20E7" w14:textId="0D4D9E1E" w:rsidR="00C132F3" w:rsidRDefault="002D2382" w:rsidP="00D83350">
      <w:pPr>
        <w:jc w:val="both"/>
      </w:pPr>
      <w:r>
        <w:t xml:space="preserve">Alternately, the teams on ground can only have </w:t>
      </w:r>
      <w:r w:rsidR="00C132F3" w:rsidRPr="00C132F3">
        <w:t>a single national level joint analysis workshop. This option is only recommended when the country of operation is in the first phase</w:t>
      </w:r>
      <w:r>
        <w:t xml:space="preserve"> of the emergency</w:t>
      </w:r>
      <w:r w:rsidR="00C132F3" w:rsidRPr="00C132F3">
        <w:t xml:space="preserve"> (</w:t>
      </w:r>
      <w:r w:rsidR="00BE3AE1">
        <w:t xml:space="preserve">i.e., during the </w:t>
      </w:r>
      <w:r w:rsidR="00C132F3" w:rsidRPr="00C132F3">
        <w:t xml:space="preserve">first 3 months), there </w:t>
      </w:r>
      <w:r w:rsidR="00D7293D">
        <w:t xml:space="preserve">are </w:t>
      </w:r>
      <w:r w:rsidR="00C132F3" w:rsidRPr="00C132F3">
        <w:t>very limited number of protection partners and stakeholders or</w:t>
      </w:r>
      <w:r w:rsidR="00BE3AE1">
        <w:t xml:space="preserve"> the</w:t>
      </w:r>
      <w:r w:rsidR="00C132F3" w:rsidRPr="00C132F3">
        <w:t xml:space="preserve"> humanitarian access is restricted.</w:t>
      </w:r>
    </w:p>
    <w:p w14:paraId="610BFD21" w14:textId="79151F9E" w:rsidR="002D042C" w:rsidRDefault="002D042C" w:rsidP="00D83350">
      <w:pPr>
        <w:pStyle w:val="Heading3"/>
        <w:jc w:val="both"/>
      </w:pPr>
      <w:r>
        <w:t xml:space="preserve">Profile of the </w:t>
      </w:r>
      <w:r w:rsidR="008C70B6">
        <w:t xml:space="preserve">workshop </w:t>
      </w:r>
      <w:r>
        <w:t>participants</w:t>
      </w:r>
    </w:p>
    <w:p w14:paraId="10963624" w14:textId="772F4290" w:rsidR="006E6E62" w:rsidRDefault="008C70B6" w:rsidP="00D8335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20AE68" wp14:editId="7F5EECA6">
                <wp:simplePos x="0" y="0"/>
                <wp:positionH relativeFrom="column">
                  <wp:posOffset>3246755</wp:posOffset>
                </wp:positionH>
                <wp:positionV relativeFrom="paragraph">
                  <wp:posOffset>26035</wp:posOffset>
                </wp:positionV>
                <wp:extent cx="1962150" cy="939800"/>
                <wp:effectExtent l="0" t="0" r="19050" b="127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5EA6F523" w14:textId="0D1479AC" w:rsidR="008C70B6" w:rsidRPr="008C70B6" w:rsidRDefault="008C70B6" w:rsidP="008C70B6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20"/>
                              </w:rPr>
                            </w:pPr>
                            <w:r w:rsidRPr="008C70B6">
                              <w:rPr>
                                <w:i/>
                                <w:iCs/>
                                <w:sz w:val="16"/>
                                <w:szCs w:val="20"/>
                              </w:rPr>
                              <w:t xml:space="preserve">The profile of participants in the joint analysis sessions can be summarized </w:t>
                            </w:r>
                            <w:r w:rsidR="00A83FDA">
                              <w:rPr>
                                <w:i/>
                                <w:iCs/>
                                <w:sz w:val="16"/>
                                <w:szCs w:val="20"/>
                              </w:rPr>
                              <w:t>as</w:t>
                            </w:r>
                            <w:r w:rsidRPr="00A83FDA">
                              <w:rPr>
                                <w:i/>
                                <w:iCs/>
                                <w:color w:val="0072BC" w:themeColor="text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A83FDA">
                              <w:rPr>
                                <w:i/>
                                <w:iCs/>
                                <w:color w:val="0072BC" w:themeColor="text2"/>
                                <w:sz w:val="16"/>
                                <w:szCs w:val="20"/>
                              </w:rPr>
                              <w:t xml:space="preserve">“the </w:t>
                            </w:r>
                            <w:r w:rsidRPr="00A83FDA">
                              <w:rPr>
                                <w:i/>
                                <w:iCs/>
                                <w:color w:val="0072BC" w:themeColor="text2"/>
                                <w:sz w:val="16"/>
                                <w:szCs w:val="20"/>
                              </w:rPr>
                              <w:t>full constituency of Protection and AoRs partners and key stakeholders</w:t>
                            </w:r>
                            <w:r w:rsidR="00A83FDA">
                              <w:rPr>
                                <w:i/>
                                <w:iCs/>
                                <w:color w:val="0072BC" w:themeColor="text2"/>
                                <w:sz w:val="16"/>
                                <w:szCs w:val="20"/>
                              </w:rPr>
                              <w:t>”</w:t>
                            </w:r>
                            <w:r w:rsidRPr="008C70B6">
                              <w:rPr>
                                <w:i/>
                                <w:iCs/>
                                <w:sz w:val="16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0AE68" id="Text Box 16" o:spid="_x0000_s1033" type="#_x0000_t202" style="position:absolute;left:0;text-align:left;margin-left:255.65pt;margin-top:2.05pt;width:154.5pt;height:7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" fillcolor="white [3201]" strokecolor="#0072bc [3215]" strokeweight=".5pt">
                <v:textbox>
                  <w:txbxContent>
                    <w:p w14:paraId="5EA6F523" w14:textId="0D1479AC" w:rsidR="008C70B6" w:rsidRPr="008C70B6" w:rsidRDefault="008C70B6" w:rsidP="008C70B6">
                      <w:pPr>
                        <w:jc w:val="center"/>
                        <w:rPr>
                          <w:i/>
                          <w:iCs/>
                          <w:sz w:val="16"/>
                          <w:szCs w:val="20"/>
                        </w:rPr>
                      </w:pPr>
                      <w:r w:rsidRPr="008C70B6">
                        <w:rPr>
                          <w:i/>
                          <w:iCs/>
                          <w:sz w:val="16"/>
                          <w:szCs w:val="20"/>
                        </w:rPr>
                        <w:t xml:space="preserve">The profile of participants in the joint analysis sessions can be summarized </w:t>
                      </w:r>
                      <w:r w:rsidR="00A83FDA">
                        <w:rPr>
                          <w:i/>
                          <w:iCs/>
                          <w:sz w:val="16"/>
                          <w:szCs w:val="20"/>
                        </w:rPr>
                        <w:t>as</w:t>
                      </w:r>
                      <w:r w:rsidRPr="00A83FDA">
                        <w:rPr>
                          <w:i/>
                          <w:iCs/>
                          <w:color w:val="0072BC" w:themeColor="text2"/>
                          <w:sz w:val="16"/>
                          <w:szCs w:val="20"/>
                        </w:rPr>
                        <w:t xml:space="preserve"> </w:t>
                      </w:r>
                      <w:r w:rsidR="00A83FDA">
                        <w:rPr>
                          <w:i/>
                          <w:iCs/>
                          <w:color w:val="0072BC" w:themeColor="text2"/>
                          <w:sz w:val="16"/>
                          <w:szCs w:val="20"/>
                        </w:rPr>
                        <w:t xml:space="preserve">“the </w:t>
                      </w:r>
                      <w:r w:rsidRPr="00A83FDA">
                        <w:rPr>
                          <w:i/>
                          <w:iCs/>
                          <w:color w:val="0072BC" w:themeColor="text2"/>
                          <w:sz w:val="16"/>
                          <w:szCs w:val="20"/>
                        </w:rPr>
                        <w:t>full constituency of Protection and AoRs partners and key stakeholders</w:t>
                      </w:r>
                      <w:r w:rsidR="00A83FDA">
                        <w:rPr>
                          <w:i/>
                          <w:iCs/>
                          <w:color w:val="0072BC" w:themeColor="text2"/>
                          <w:sz w:val="16"/>
                          <w:szCs w:val="20"/>
                        </w:rPr>
                        <w:t>”</w:t>
                      </w:r>
                      <w:r w:rsidRPr="008C70B6">
                        <w:rPr>
                          <w:i/>
                          <w:iCs/>
                          <w:sz w:val="16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042C" w:rsidRPr="002D042C">
        <w:t xml:space="preserve">The constituency varies from country to country, and it is the </w:t>
      </w:r>
      <w:r w:rsidR="006E6E62">
        <w:t>responsibility</w:t>
      </w:r>
      <w:r w:rsidR="002D042C" w:rsidRPr="002D042C">
        <w:t xml:space="preserve"> of the coordinators to decide about the </w:t>
      </w:r>
      <w:r w:rsidR="00BE3AE1">
        <w:t xml:space="preserve">total </w:t>
      </w:r>
      <w:r w:rsidR="002D042C" w:rsidRPr="002D042C">
        <w:t xml:space="preserve">number and profile of the participants. </w:t>
      </w:r>
    </w:p>
    <w:p w14:paraId="2905909B" w14:textId="67465776" w:rsidR="002D042C" w:rsidRDefault="002D042C" w:rsidP="00D83350">
      <w:pPr>
        <w:jc w:val="both"/>
      </w:pPr>
      <w:r w:rsidRPr="002D042C">
        <w:t>Some examples of constituencies are: National and local authorities; national and local partners; National and local NGO forums; International partners; Information Management WGs, OCHA, donors or other clusters, especially if protection is seeking to reinforce and foster Protection mainstreaming and integrated approaches.</w:t>
      </w:r>
    </w:p>
    <w:p w14:paraId="0AD39A0A" w14:textId="7371AB93" w:rsidR="002D042C" w:rsidRDefault="00A922E5" w:rsidP="00D83350">
      <w:pPr>
        <w:pStyle w:val="Heading3"/>
        <w:jc w:val="both"/>
      </w:pPr>
      <w:r w:rsidRPr="00A922E5">
        <w:t>Joint analysis session dynamics</w:t>
      </w:r>
    </w:p>
    <w:p w14:paraId="7C78F679" w14:textId="2972E052" w:rsidR="00A922E5" w:rsidRPr="00A922E5" w:rsidRDefault="00072A60" w:rsidP="00D83350">
      <w:pPr>
        <w:jc w:val="both"/>
      </w:pPr>
      <w:r>
        <w:t xml:space="preserve">1) </w:t>
      </w:r>
      <w:r w:rsidR="00A922E5" w:rsidRPr="00A922E5">
        <w:t>During the joint analysis session, Protection Cluster and AoRs can provide an overview of the</w:t>
      </w:r>
      <w:r w:rsidR="00BE3AE1">
        <w:t xml:space="preserve"> following to the participants</w:t>
      </w:r>
      <w:r w:rsidR="00A922E5" w:rsidRPr="00A922E5">
        <w:t xml:space="preserve">: </w:t>
      </w:r>
    </w:p>
    <w:p w14:paraId="256A6910" w14:textId="5D9FD087" w:rsidR="00A922E5" w:rsidRPr="00A922E5" w:rsidRDefault="00A922E5" w:rsidP="00D83350">
      <w:pPr>
        <w:pStyle w:val="ListParagraph"/>
        <w:numPr>
          <w:ilvl w:val="0"/>
          <w:numId w:val="15"/>
        </w:numPr>
        <w:jc w:val="both"/>
      </w:pPr>
      <w:r w:rsidRPr="00A922E5">
        <w:lastRenderedPageBreak/>
        <w:t>HPC process</w:t>
      </w:r>
      <w:r w:rsidR="006675DB">
        <w:t xml:space="preserve"> and the timeline</w:t>
      </w:r>
      <w:r w:rsidRPr="00A922E5">
        <w:t xml:space="preserve">, </w:t>
      </w:r>
    </w:p>
    <w:p w14:paraId="7E4D4BB2" w14:textId="77777777" w:rsidR="00A922E5" w:rsidRPr="00A922E5" w:rsidRDefault="00A922E5" w:rsidP="00D83350">
      <w:pPr>
        <w:pStyle w:val="ListParagraph"/>
        <w:numPr>
          <w:ilvl w:val="0"/>
          <w:numId w:val="15"/>
        </w:numPr>
        <w:jc w:val="both"/>
      </w:pPr>
      <w:r w:rsidRPr="00A922E5">
        <w:t xml:space="preserve">selection and use of indicators, </w:t>
      </w:r>
    </w:p>
    <w:p w14:paraId="765DF767" w14:textId="77777777" w:rsidR="00A922E5" w:rsidRPr="00A922E5" w:rsidRDefault="00A922E5" w:rsidP="00D83350">
      <w:pPr>
        <w:pStyle w:val="ListParagraph"/>
        <w:numPr>
          <w:ilvl w:val="0"/>
          <w:numId w:val="15"/>
        </w:numPr>
        <w:jc w:val="both"/>
      </w:pPr>
      <w:r w:rsidRPr="00A922E5">
        <w:t xml:space="preserve">identified protection threats, </w:t>
      </w:r>
    </w:p>
    <w:p w14:paraId="0DE9217B" w14:textId="77777777" w:rsidR="00A922E5" w:rsidRPr="00A922E5" w:rsidRDefault="00A922E5" w:rsidP="00D83350">
      <w:pPr>
        <w:pStyle w:val="ListParagraph"/>
        <w:numPr>
          <w:ilvl w:val="0"/>
          <w:numId w:val="15"/>
        </w:numPr>
        <w:jc w:val="both"/>
      </w:pPr>
      <w:r w:rsidRPr="00A922E5">
        <w:t xml:space="preserve">selection of the PiN % for each of the population groups, </w:t>
      </w:r>
    </w:p>
    <w:p w14:paraId="43B63749" w14:textId="77777777" w:rsidR="00A922E5" w:rsidRPr="00A922E5" w:rsidRDefault="00A922E5" w:rsidP="00D83350">
      <w:pPr>
        <w:pStyle w:val="ListParagraph"/>
        <w:numPr>
          <w:ilvl w:val="0"/>
          <w:numId w:val="15"/>
        </w:numPr>
        <w:jc w:val="both"/>
      </w:pPr>
      <w:r w:rsidRPr="00A922E5">
        <w:t xml:space="preserve">internal analysis process, </w:t>
      </w:r>
    </w:p>
    <w:p w14:paraId="4128A923" w14:textId="6EBE9A9E" w:rsidR="00A922E5" w:rsidRDefault="00A922E5" w:rsidP="00D83350">
      <w:pPr>
        <w:pStyle w:val="ListParagraph"/>
        <w:numPr>
          <w:ilvl w:val="0"/>
          <w:numId w:val="15"/>
        </w:numPr>
        <w:jc w:val="both"/>
      </w:pPr>
      <w:r w:rsidRPr="00A922E5">
        <w:t>interaction with other clusters, OCHA etc.</w:t>
      </w:r>
    </w:p>
    <w:p w14:paraId="613C758B" w14:textId="77777777" w:rsidR="00072A60" w:rsidRPr="00072A60" w:rsidRDefault="00072A60" w:rsidP="00D83350">
      <w:pPr>
        <w:jc w:val="both"/>
      </w:pPr>
      <w:r w:rsidRPr="00072A60">
        <w:t>2) Review in plenary the finalized severity ranking by each geographical unit of analysis explaining the process and the initial ranking and the identified protection threats.</w:t>
      </w:r>
    </w:p>
    <w:p w14:paraId="67763939" w14:textId="33FDB30A" w:rsidR="00072A60" w:rsidRPr="00072A60" w:rsidRDefault="001B02F7" w:rsidP="00D8335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0D204D" wp14:editId="4616067F">
                <wp:simplePos x="0" y="0"/>
                <wp:positionH relativeFrom="column">
                  <wp:posOffset>171450</wp:posOffset>
                </wp:positionH>
                <wp:positionV relativeFrom="paragraph">
                  <wp:posOffset>3031490</wp:posOffset>
                </wp:positionV>
                <wp:extent cx="4445000" cy="63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0CC0A2" w14:textId="2BAC298E" w:rsidR="001B02F7" w:rsidRPr="00686C88" w:rsidRDefault="001B02F7" w:rsidP="001B02F7">
                            <w:pPr>
                              <w:pStyle w:val="Caption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t>Figure 2: Severity ranking validation for 2019 Venezuela HNO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D204D" id="Text Box 1" o:spid="_x0000_s1034" type="#_x0000_t202" style="position:absolute;left:0;text-align:left;margin-left:13.5pt;margin-top:238.7pt;width:350pt;height: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" stroked="f">
                <v:textbox style="mso-fit-shape-to-text:t" inset="0,0,0,0">
                  <w:txbxContent>
                    <w:p w14:paraId="120CC0A2" w14:textId="2BAC298E" w:rsidR="001B02F7" w:rsidRPr="00686C88" w:rsidRDefault="001B02F7" w:rsidP="001B02F7">
                      <w:pPr>
                        <w:pStyle w:val="Caption"/>
                        <w:rPr>
                          <w:sz w:val="20"/>
                          <w:szCs w:val="24"/>
                        </w:rPr>
                      </w:pPr>
                      <w:r>
                        <w:t>Figure 2: Severity ranking validation for 2019 Venezuela HNO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2A60" w:rsidRPr="00072A60">
        <w:rPr>
          <w:noProof/>
        </w:rPr>
        <w:drawing>
          <wp:anchor distT="0" distB="0" distL="114300" distR="114300" simplePos="0" relativeHeight="251657216" behindDoc="0" locked="0" layoutInCell="1" allowOverlap="1" wp14:anchorId="6F6E80B2" wp14:editId="1C6D09CA">
            <wp:simplePos x="0" y="0"/>
            <wp:positionH relativeFrom="margin">
              <wp:align>left</wp:align>
            </wp:positionH>
            <wp:positionV relativeFrom="paragraph">
              <wp:posOffset>532130</wp:posOffset>
            </wp:positionV>
            <wp:extent cx="4445000" cy="2442210"/>
            <wp:effectExtent l="171450" t="171450" r="355600" b="358140"/>
            <wp:wrapSquare wrapText="bothSides"/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6C2A608-8233-4DD9-8597-0EFF757308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66C2A608-8233-4DD9-8597-0EFF757308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3" t="38463" r="44056" b="7180"/>
                    <a:stretch/>
                  </pic:blipFill>
                  <pic:spPr>
                    <a:xfrm>
                      <a:off x="0" y="0"/>
                      <a:ext cx="4445000" cy="2442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A60" w:rsidRPr="00072A60">
        <w:t xml:space="preserve">After discussion, participants will either endorse or review the severity as shown in this example from </w:t>
      </w:r>
      <w:r w:rsidR="00F873A7">
        <w:t xml:space="preserve">2019 HNO for </w:t>
      </w:r>
      <w:r w:rsidR="00072A60" w:rsidRPr="00072A60">
        <w:t>Venezuela:</w:t>
      </w:r>
    </w:p>
    <w:p w14:paraId="438B813F" w14:textId="4AB4351C" w:rsidR="00D94AB8" w:rsidRPr="00D94AB8" w:rsidRDefault="00D94AB8" w:rsidP="00D83350">
      <w:pPr>
        <w:jc w:val="both"/>
      </w:pPr>
      <w:r w:rsidRPr="00D94AB8">
        <w:t xml:space="preserve">If after discussion there is consensus on the ranking, the </w:t>
      </w:r>
      <w:r w:rsidR="00F873A7">
        <w:t>participants</w:t>
      </w:r>
      <w:r w:rsidRPr="00D94AB8">
        <w:t xml:space="preserve"> can move to the next geographical unit of analysis and </w:t>
      </w:r>
      <w:r w:rsidR="00F873A7">
        <w:t xml:space="preserve">repeat the process of endorsement. The process will </w:t>
      </w:r>
      <w:r w:rsidR="003C2710">
        <w:t xml:space="preserve">continue </w:t>
      </w:r>
      <w:r w:rsidR="003C2710" w:rsidRPr="00D94AB8">
        <w:t>until</w:t>
      </w:r>
      <w:r w:rsidRPr="00D94AB8">
        <w:t xml:space="preserve"> </w:t>
      </w:r>
      <w:r w:rsidR="00F873A7">
        <w:t xml:space="preserve">all the geographical units have been </w:t>
      </w:r>
      <w:r w:rsidRPr="00D94AB8">
        <w:t>review</w:t>
      </w:r>
      <w:r w:rsidR="00F873A7">
        <w:t>ed and their severity ranking endorsed</w:t>
      </w:r>
      <w:r w:rsidRPr="00D94AB8">
        <w:t>.</w:t>
      </w:r>
    </w:p>
    <w:p w14:paraId="061A06B9" w14:textId="02CB1DE1" w:rsidR="00D94AB8" w:rsidRPr="00D94AB8" w:rsidRDefault="003C2710" w:rsidP="00D83350">
      <w:pPr>
        <w:jc w:val="both"/>
      </w:pPr>
      <w:r>
        <w:t>In case of disagreement</w:t>
      </w:r>
      <w:r w:rsidR="00D94AB8" w:rsidRPr="00D94AB8">
        <w:t>, the severity ranking of the unit of analysis should be discussed in</w:t>
      </w:r>
      <w:r>
        <w:t xml:space="preserve"> a </w:t>
      </w:r>
      <w:r w:rsidRPr="00D94AB8">
        <w:t>plenary</w:t>
      </w:r>
      <w:r>
        <w:t xml:space="preserve"> session</w:t>
      </w:r>
      <w:r w:rsidR="00D94AB8" w:rsidRPr="00D94AB8">
        <w:t xml:space="preserve">. The ranking review can </w:t>
      </w:r>
      <w:r>
        <w:t xml:space="preserve">result in either an increase or decrease of the </w:t>
      </w:r>
      <w:r w:rsidR="00D94AB8" w:rsidRPr="00D94AB8">
        <w:t>severity</w:t>
      </w:r>
      <w:r>
        <w:t xml:space="preserve"> ranking</w:t>
      </w:r>
      <w:r w:rsidR="00D94AB8" w:rsidRPr="00D94AB8">
        <w:t xml:space="preserve"> of the unit of analysis</w:t>
      </w:r>
      <w:r>
        <w:t>. A</w:t>
      </w:r>
      <w:r w:rsidR="00D94AB8" w:rsidRPr="00D94AB8">
        <w:t xml:space="preserve">ny change </w:t>
      </w:r>
      <w:r>
        <w:t xml:space="preserve">in severity ranking </w:t>
      </w:r>
      <w:r w:rsidR="00D94AB8" w:rsidRPr="00D94AB8">
        <w:t>should be supported by:</w:t>
      </w:r>
    </w:p>
    <w:p w14:paraId="71F1F1CE" w14:textId="3FA22190" w:rsidR="00D94AB8" w:rsidRPr="00D94AB8" w:rsidRDefault="00D94AB8" w:rsidP="003C2710">
      <w:pPr>
        <w:pStyle w:val="ListParagraph"/>
        <w:numPr>
          <w:ilvl w:val="0"/>
          <w:numId w:val="16"/>
        </w:numPr>
        <w:jc w:val="both"/>
      </w:pPr>
      <w:r w:rsidRPr="004F3CD8">
        <w:rPr>
          <w:b/>
          <w:bCs/>
        </w:rPr>
        <w:t>Context</w:t>
      </w:r>
      <w:r w:rsidR="009C1F48" w:rsidRPr="004F3CD8">
        <w:rPr>
          <w:b/>
          <w:bCs/>
        </w:rPr>
        <w:t>ual</w:t>
      </w:r>
      <w:r w:rsidRPr="004F3CD8">
        <w:rPr>
          <w:b/>
          <w:bCs/>
        </w:rPr>
        <w:t xml:space="preserve"> knowledge</w:t>
      </w:r>
      <w:r w:rsidR="002D4CF4" w:rsidRPr="004F3CD8">
        <w:rPr>
          <w:b/>
          <w:bCs/>
        </w:rPr>
        <w:t xml:space="preserve"> or </w:t>
      </w:r>
      <w:r w:rsidRPr="004F3CD8">
        <w:rPr>
          <w:b/>
          <w:bCs/>
        </w:rPr>
        <w:t>updat</w:t>
      </w:r>
      <w:r w:rsidR="009C1F48" w:rsidRPr="004F3CD8">
        <w:rPr>
          <w:b/>
          <w:bCs/>
        </w:rPr>
        <w:t>e</w:t>
      </w:r>
      <w:r w:rsidR="009C1F48">
        <w:t xml:space="preserve">. </w:t>
      </w:r>
      <w:r w:rsidR="002D4CF4">
        <w:t>N</w:t>
      </w:r>
      <w:r w:rsidRPr="00D94AB8">
        <w:t>ational and local actors can play a key role</w:t>
      </w:r>
      <w:r w:rsidR="002D4CF4">
        <w:t xml:space="preserve"> in this regard </w:t>
      </w:r>
      <w:r w:rsidRPr="00D94AB8">
        <w:t>together with the roll out of sub-national joint analysis sessions</w:t>
      </w:r>
      <w:r w:rsidR="009C1F48">
        <w:t>.</w:t>
      </w:r>
    </w:p>
    <w:p w14:paraId="69D66EA9" w14:textId="21980803" w:rsidR="00D94AB8" w:rsidRPr="00D94AB8" w:rsidRDefault="00D94AB8" w:rsidP="003C2710">
      <w:pPr>
        <w:pStyle w:val="ListParagraph"/>
        <w:numPr>
          <w:ilvl w:val="0"/>
          <w:numId w:val="16"/>
        </w:numPr>
        <w:jc w:val="both"/>
      </w:pPr>
      <w:r w:rsidRPr="004F3CD8">
        <w:rPr>
          <w:b/>
          <w:bCs/>
        </w:rPr>
        <w:t>Additional data/information</w:t>
      </w:r>
      <w:r w:rsidRPr="00D94AB8">
        <w:t xml:space="preserve"> regarding the specific geographical unit of analysis (i.e., presence/lack of unreported armed groups, recent </w:t>
      </w:r>
      <w:r w:rsidR="002D4CF4">
        <w:t>return / displacement of</w:t>
      </w:r>
      <w:r w:rsidRPr="00D94AB8">
        <w:t xml:space="preserve"> population etc.)</w:t>
      </w:r>
    </w:p>
    <w:p w14:paraId="3D7E36D8" w14:textId="626028ED" w:rsidR="00072A60" w:rsidRPr="00072A60" w:rsidRDefault="00D94AB8" w:rsidP="003C2710">
      <w:pPr>
        <w:pStyle w:val="ListParagraph"/>
        <w:numPr>
          <w:ilvl w:val="0"/>
          <w:numId w:val="16"/>
        </w:numPr>
        <w:jc w:val="both"/>
      </w:pPr>
      <w:r w:rsidRPr="004F3CD8">
        <w:rPr>
          <w:b/>
          <w:bCs/>
        </w:rPr>
        <w:t>Confirmed presence/ or lack of</w:t>
      </w:r>
      <w:r w:rsidRPr="00D94AB8">
        <w:t xml:space="preserve"> a protection threat in the area.</w:t>
      </w:r>
    </w:p>
    <w:p w14:paraId="0F2F9828" w14:textId="4D0CF228" w:rsidR="00D94AB8" w:rsidRPr="00D94AB8" w:rsidRDefault="004F3CD8" w:rsidP="00D83350">
      <w:pPr>
        <w:jc w:val="both"/>
        <w:rPr>
          <w:i/>
          <w:iCs/>
          <w:color w:val="0072BC" w:themeColor="text2"/>
        </w:rPr>
      </w:pPr>
      <w:r w:rsidRPr="004F3CD8">
        <w:rPr>
          <w:i/>
          <w:iCs/>
          <w:color w:val="0072BC" w:themeColor="text2"/>
        </w:rPr>
        <w:lastRenderedPageBreak/>
        <w:t>Please keep in mind that c</w:t>
      </w:r>
      <w:r w:rsidR="00D94AB8" w:rsidRPr="00D94AB8">
        <w:rPr>
          <w:i/>
          <w:iCs/>
          <w:color w:val="0072BC" w:themeColor="text2"/>
        </w:rPr>
        <w:t>hanges in the severity ranking will have a direct impact on the PiN estimates. If the ranking increases or decreases after the joint analysis sessions; the % of PiN should change accordingly for that unit of analysis.</w:t>
      </w:r>
    </w:p>
    <w:p w14:paraId="2E0ACEF7" w14:textId="3A7089F1" w:rsidR="00072A60" w:rsidRPr="00072A60" w:rsidRDefault="00D94AB8" w:rsidP="00D83350">
      <w:pPr>
        <w:jc w:val="both"/>
      </w:pPr>
      <w:r w:rsidRPr="00D94AB8">
        <w:t xml:space="preserve">The final outcomes of the joint analysis </w:t>
      </w:r>
      <w:r w:rsidR="004F3CD8" w:rsidRPr="00D94AB8">
        <w:t>are</w:t>
      </w:r>
      <w:r w:rsidRPr="00D94AB8">
        <w:t xml:space="preserve"> a final severity ranking, </w:t>
      </w:r>
      <w:r w:rsidR="004F3CD8">
        <w:t xml:space="preserve">update to </w:t>
      </w:r>
      <w:r w:rsidRPr="00D94AB8">
        <w:t>PiN</w:t>
      </w:r>
      <w:r w:rsidR="004F3CD8">
        <w:t xml:space="preserve"> figures (if required)</w:t>
      </w:r>
      <w:r w:rsidRPr="00D94AB8">
        <w:t xml:space="preserve"> and priority </w:t>
      </w:r>
      <w:r w:rsidR="004F3CD8">
        <w:t xml:space="preserve">Protection </w:t>
      </w:r>
      <w:r w:rsidRPr="00D94AB8">
        <w:t>threats. These outcomes will have direct linkages with the HRP in terms of Protection Strategic and sectoral objectives, priority areas and groups, targeting and overall response strategy.</w:t>
      </w:r>
    </w:p>
    <w:p w14:paraId="7E8A364D" w14:textId="6208D073" w:rsidR="00CE0FE0" w:rsidRPr="00D65739" w:rsidRDefault="0048588B" w:rsidP="00D83350">
      <w:pPr>
        <w:pStyle w:val="Heading2"/>
        <w:jc w:val="both"/>
        <w:rPr>
          <w:lang w:val="en-US"/>
        </w:rPr>
      </w:pPr>
      <w:r w:rsidRPr="00D65739">
        <w:rPr>
          <w:lang w:val="en-US"/>
        </w:rPr>
        <w:t>S</w:t>
      </w:r>
      <w:r w:rsidR="00CE0FE0" w:rsidRPr="00D65739">
        <w:rPr>
          <w:lang w:val="en-US"/>
        </w:rPr>
        <w:t>upport</w:t>
      </w:r>
      <w:r w:rsidRPr="00D65739">
        <w:rPr>
          <w:lang w:val="en-US"/>
        </w:rPr>
        <w:t xml:space="preserve"> request</w:t>
      </w:r>
    </w:p>
    <w:p w14:paraId="39AC1E82" w14:textId="5F55597D" w:rsidR="00CE0FE0" w:rsidRDefault="00B90FD0" w:rsidP="00D83350">
      <w:pPr>
        <w:jc w:val="both"/>
      </w:pPr>
      <w:r>
        <w:t xml:space="preserve">If you </w:t>
      </w:r>
      <w:r w:rsidR="00CE0FE0">
        <w:t>encounter</w:t>
      </w:r>
      <w:r>
        <w:t xml:space="preserve"> any challenge or difficulty</w:t>
      </w:r>
      <w:r w:rsidR="00CE0FE0">
        <w:t xml:space="preserve"> at the field level</w:t>
      </w:r>
      <w:r>
        <w:t>, please get in touch with us:</w:t>
      </w:r>
    </w:p>
    <w:tbl>
      <w:tblPr>
        <w:tblW w:w="8737" w:type="dxa"/>
        <w:tblLook w:val="04A0" w:firstRow="1" w:lastRow="0" w:firstColumn="1" w:lastColumn="0" w:noHBand="0" w:noVBand="1"/>
      </w:tblPr>
      <w:tblGrid>
        <w:gridCol w:w="2478"/>
        <w:gridCol w:w="3163"/>
        <w:gridCol w:w="3096"/>
      </w:tblGrid>
      <w:tr w:rsidR="00FF297C" w:rsidRPr="00FF297C" w14:paraId="5434CF3D" w14:textId="77777777" w:rsidTr="00B353D3">
        <w:trPr>
          <w:trHeight w:val="408"/>
        </w:trPr>
        <w:tc>
          <w:tcPr>
            <w:tcW w:w="24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6464" w14:textId="77777777" w:rsidR="00FF297C" w:rsidRPr="001E5FDB" w:rsidRDefault="00FF297C" w:rsidP="00D83350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0"/>
                <w:lang w:val="en-GB" w:eastAsia="en-GB"/>
              </w:rPr>
            </w:pPr>
            <w:r w:rsidRPr="001E5FDB">
              <w:rPr>
                <w:rFonts w:eastAsia="Times New Roman"/>
                <w:b/>
                <w:bCs/>
                <w:color w:val="000000"/>
                <w:szCs w:val="20"/>
                <w:lang w:val="en-GB" w:eastAsia="en-GB"/>
              </w:rPr>
              <w:t>Region</w:t>
            </w:r>
          </w:p>
        </w:tc>
        <w:tc>
          <w:tcPr>
            <w:tcW w:w="31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1E1A" w14:textId="77777777" w:rsidR="00FF297C" w:rsidRPr="001E5FDB" w:rsidRDefault="00FF297C" w:rsidP="00D83350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0"/>
                <w:lang w:val="en-GB" w:eastAsia="en-GB"/>
              </w:rPr>
            </w:pPr>
            <w:r w:rsidRPr="001E5FDB">
              <w:rPr>
                <w:rFonts w:eastAsia="Times New Roman"/>
                <w:b/>
                <w:bCs/>
                <w:color w:val="000000"/>
                <w:szCs w:val="20"/>
                <w:lang w:val="en-GB" w:eastAsia="en-GB"/>
              </w:rPr>
              <w:t>HPC Regional Coordination Focal Point</w:t>
            </w:r>
          </w:p>
        </w:tc>
        <w:tc>
          <w:tcPr>
            <w:tcW w:w="30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BA1E" w14:textId="77777777" w:rsidR="00FF297C" w:rsidRPr="001E5FDB" w:rsidRDefault="00FF297C" w:rsidP="00D83350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0"/>
                <w:lang w:val="en-GB" w:eastAsia="en-GB"/>
              </w:rPr>
            </w:pPr>
            <w:r w:rsidRPr="001E5FDB">
              <w:rPr>
                <w:rFonts w:eastAsia="Times New Roman"/>
                <w:b/>
                <w:bCs/>
                <w:color w:val="000000"/>
                <w:szCs w:val="20"/>
                <w:lang w:val="en-GB" w:eastAsia="en-GB"/>
              </w:rPr>
              <w:t>HPC Regional IM Focal Point</w:t>
            </w:r>
          </w:p>
        </w:tc>
      </w:tr>
      <w:tr w:rsidR="00FF297C" w:rsidRPr="00FF297C" w14:paraId="17853D94" w14:textId="77777777" w:rsidTr="00B353D3">
        <w:trPr>
          <w:trHeight w:val="408"/>
        </w:trPr>
        <w:tc>
          <w:tcPr>
            <w:tcW w:w="24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FF35CC" w14:textId="77777777" w:rsidR="00FF297C" w:rsidRPr="001E5FDB" w:rsidRDefault="00FF297C" w:rsidP="00D83350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31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F9665" w14:textId="77777777" w:rsidR="00FF297C" w:rsidRPr="001E5FDB" w:rsidRDefault="00FF297C" w:rsidP="00D83350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30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F97EE0" w14:textId="77777777" w:rsidR="00FF297C" w:rsidRPr="001E5FDB" w:rsidRDefault="00FF297C" w:rsidP="00D83350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0"/>
                <w:lang w:val="en-GB" w:eastAsia="en-GB"/>
              </w:rPr>
            </w:pPr>
          </w:p>
        </w:tc>
      </w:tr>
      <w:tr w:rsidR="00FF297C" w:rsidRPr="00FF297C" w14:paraId="1AEF2D3B" w14:textId="77777777" w:rsidTr="00FF297C">
        <w:trPr>
          <w:trHeight w:val="408"/>
        </w:trPr>
        <w:tc>
          <w:tcPr>
            <w:tcW w:w="24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2750" w14:textId="77777777" w:rsidR="00FF297C" w:rsidRPr="001E5FDB" w:rsidRDefault="00FF297C" w:rsidP="00D83350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31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0C05" w14:textId="77777777" w:rsidR="00FF297C" w:rsidRPr="001E5FDB" w:rsidRDefault="00FF297C" w:rsidP="00D83350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30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DB48" w14:textId="77777777" w:rsidR="00FF297C" w:rsidRPr="001E5FDB" w:rsidRDefault="00FF297C" w:rsidP="00D83350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0"/>
                <w:lang w:val="en-GB" w:eastAsia="en-GB"/>
              </w:rPr>
            </w:pPr>
          </w:p>
        </w:tc>
      </w:tr>
      <w:tr w:rsidR="00FF297C" w:rsidRPr="00FF297C" w14:paraId="5E6169A8" w14:textId="77777777" w:rsidTr="00B353D3">
        <w:trPr>
          <w:trHeight w:val="89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B2FF" w:themeFill="text2" w:themeFillTint="99"/>
            <w:noWrap/>
            <w:vAlign w:val="center"/>
            <w:hideMark/>
          </w:tcPr>
          <w:p w14:paraId="64A6E7C4" w14:textId="77777777" w:rsidR="00FF297C" w:rsidRPr="001E5FDB" w:rsidRDefault="00FF297C" w:rsidP="00D83350">
            <w:pPr>
              <w:spacing w:after="0" w:line="240" w:lineRule="auto"/>
              <w:jc w:val="both"/>
              <w:rPr>
                <w:rFonts w:eastAsia="Times New Roman"/>
                <w:color w:val="FFFFFF" w:themeColor="background1"/>
                <w:szCs w:val="20"/>
                <w:lang w:val="en-GB" w:eastAsia="en-GB"/>
              </w:rPr>
            </w:pPr>
            <w:r w:rsidRPr="001E5FDB">
              <w:rPr>
                <w:rFonts w:eastAsia="Times New Roman"/>
                <w:color w:val="FFFFFF" w:themeColor="background1"/>
                <w:szCs w:val="20"/>
                <w:lang w:val="en-GB" w:eastAsia="en-GB"/>
              </w:rPr>
              <w:t>Asia/Pacific/Europe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B2FF" w:themeFill="text2" w:themeFillTint="99"/>
            <w:noWrap/>
            <w:vAlign w:val="center"/>
            <w:hideMark/>
          </w:tcPr>
          <w:p w14:paraId="72163CA7" w14:textId="77777777" w:rsidR="00FF297C" w:rsidRPr="00D65739" w:rsidRDefault="00FF297C" w:rsidP="00D83350">
            <w:pPr>
              <w:spacing w:after="0" w:line="240" w:lineRule="auto"/>
              <w:jc w:val="both"/>
              <w:rPr>
                <w:rFonts w:eastAsia="Times New Roman"/>
                <w:color w:val="FFFFFF" w:themeColor="background1"/>
                <w:szCs w:val="20"/>
                <w:lang w:val="de-CH" w:eastAsia="en-GB"/>
              </w:rPr>
            </w:pPr>
            <w:r w:rsidRPr="00D65739">
              <w:rPr>
                <w:rFonts w:eastAsia="Times New Roman"/>
                <w:color w:val="FFFFFF" w:themeColor="background1"/>
                <w:szCs w:val="20"/>
                <w:lang w:val="de-CH" w:eastAsia="en-GB"/>
              </w:rPr>
              <w:t xml:space="preserve">David Winiger, </w:t>
            </w:r>
            <w:r w:rsidR="00CE48F8">
              <w:fldChar w:fldCharType="begin"/>
            </w:r>
            <w:r w:rsidR="00CE48F8">
              <w:instrText xml:space="preserve"> HYPERLINK "mailto:winiger@unhcr.org" </w:instrText>
            </w:r>
            <w:r w:rsidR="00CE48F8">
              <w:fldChar w:fldCharType="separate"/>
            </w:r>
            <w:r w:rsidRPr="00D65739">
              <w:rPr>
                <w:rFonts w:eastAsia="Times New Roman"/>
                <w:color w:val="FFFFFF" w:themeColor="background1"/>
                <w:szCs w:val="20"/>
                <w:u w:val="single"/>
                <w:lang w:val="de-CH" w:eastAsia="en-GB"/>
              </w:rPr>
              <w:t>winiger@unhcr.org</w:t>
            </w:r>
            <w:r w:rsidR="00CE48F8">
              <w:rPr>
                <w:rFonts w:eastAsia="Times New Roman"/>
                <w:color w:val="FFFFFF" w:themeColor="background1"/>
                <w:szCs w:val="20"/>
                <w:u w:val="single"/>
                <w:lang w:val="de-CH" w:eastAsia="en-GB"/>
              </w:rPr>
              <w:fldChar w:fldCharType="end"/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B2FF" w:themeFill="text2" w:themeFillTint="99"/>
            <w:noWrap/>
            <w:vAlign w:val="center"/>
            <w:hideMark/>
          </w:tcPr>
          <w:p w14:paraId="5A21D125" w14:textId="77777777" w:rsidR="00FF297C" w:rsidRPr="001E5FDB" w:rsidRDefault="00FF297C" w:rsidP="00D83350">
            <w:pPr>
              <w:spacing w:after="0" w:line="240" w:lineRule="auto"/>
              <w:jc w:val="both"/>
              <w:rPr>
                <w:rFonts w:eastAsia="Times New Roman"/>
                <w:color w:val="FFFFFF" w:themeColor="background1"/>
                <w:szCs w:val="20"/>
                <w:lang w:val="en-GB" w:eastAsia="en-GB"/>
              </w:rPr>
            </w:pPr>
            <w:r w:rsidRPr="001E5FDB">
              <w:rPr>
                <w:rFonts w:eastAsia="Times New Roman"/>
                <w:color w:val="FFFFFF" w:themeColor="background1"/>
                <w:szCs w:val="20"/>
                <w:lang w:val="en-GB" w:eastAsia="en-GB"/>
              </w:rPr>
              <w:t>Kashif Rehman</w:t>
            </w:r>
            <w:r w:rsidRPr="00FF297C">
              <w:rPr>
                <w:rFonts w:eastAsia="Times New Roman"/>
                <w:color w:val="FFFFFF" w:themeColor="background1"/>
                <w:szCs w:val="20"/>
                <w:lang w:val="en-GB" w:eastAsia="en-GB"/>
              </w:rPr>
              <w:t xml:space="preserve">, </w:t>
            </w:r>
            <w:hyperlink r:id="rId9" w:history="1">
              <w:r w:rsidRPr="001E5FDB">
                <w:rPr>
                  <w:rFonts w:eastAsia="Times New Roman"/>
                  <w:color w:val="FFFFFF" w:themeColor="background1"/>
                  <w:szCs w:val="20"/>
                  <w:u w:val="single"/>
                  <w:lang w:val="en-GB" w:eastAsia="en-GB"/>
                </w:rPr>
                <w:t>rehmanka@unhcr.org</w:t>
              </w:r>
            </w:hyperlink>
          </w:p>
        </w:tc>
      </w:tr>
      <w:tr w:rsidR="00FF297C" w:rsidRPr="00FF297C" w14:paraId="16E9EE9C" w14:textId="77777777" w:rsidTr="00B353D3">
        <w:trPr>
          <w:trHeight w:val="985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B2FF" w:themeFill="text2" w:themeFillTint="99"/>
            <w:noWrap/>
            <w:vAlign w:val="center"/>
          </w:tcPr>
          <w:p w14:paraId="5A1F3D7A" w14:textId="77777777" w:rsidR="00FF297C" w:rsidRPr="00FF297C" w:rsidRDefault="00FF297C" w:rsidP="00D83350">
            <w:pPr>
              <w:spacing w:after="0" w:line="240" w:lineRule="auto"/>
              <w:jc w:val="both"/>
              <w:rPr>
                <w:rFonts w:eastAsia="Times New Roman"/>
                <w:color w:val="FFFFFF" w:themeColor="background1"/>
                <w:szCs w:val="20"/>
                <w:lang w:val="en-GB" w:eastAsia="en-GB"/>
              </w:rPr>
            </w:pPr>
            <w:r w:rsidRPr="00FF297C">
              <w:rPr>
                <w:rFonts w:eastAsia="Times New Roman"/>
                <w:color w:val="FFFFFF" w:themeColor="background1"/>
                <w:szCs w:val="20"/>
                <w:lang w:val="en-GB" w:eastAsia="en-GB"/>
              </w:rPr>
              <w:t>East &amp; Southern Africa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B2FF" w:themeFill="text2" w:themeFillTint="99"/>
            <w:noWrap/>
            <w:vAlign w:val="center"/>
          </w:tcPr>
          <w:p w14:paraId="7B865D4A" w14:textId="77777777" w:rsidR="00FF297C" w:rsidRPr="00FF297C" w:rsidRDefault="00FF297C" w:rsidP="00D83350">
            <w:pPr>
              <w:spacing w:after="0" w:line="240" w:lineRule="auto"/>
              <w:jc w:val="both"/>
              <w:rPr>
                <w:rFonts w:eastAsia="Times New Roman"/>
                <w:color w:val="FFFFFF" w:themeColor="background1"/>
                <w:szCs w:val="20"/>
                <w:lang w:val="en-GB" w:eastAsia="en-GB"/>
              </w:rPr>
            </w:pPr>
            <w:r w:rsidRPr="00FF297C">
              <w:rPr>
                <w:rFonts w:eastAsia="Times New Roman"/>
                <w:color w:val="FFFFFF" w:themeColor="background1"/>
                <w:szCs w:val="20"/>
                <w:lang w:val="en-GB" w:eastAsia="en-GB"/>
              </w:rPr>
              <w:t xml:space="preserve">Jessica Gorham, </w:t>
            </w:r>
            <w:hyperlink r:id="rId10" w:history="1">
              <w:r w:rsidRPr="00FF297C">
                <w:rPr>
                  <w:rStyle w:val="Hyperlink"/>
                  <w:rFonts w:eastAsia="Times New Roman"/>
                  <w:color w:val="FFFFFF" w:themeColor="background1"/>
                  <w:szCs w:val="20"/>
                  <w:lang w:val="en-GB" w:eastAsia="en-GB"/>
                </w:rPr>
                <w:t>gorham@unfpa.org</w:t>
              </w:r>
            </w:hyperlink>
            <w:r w:rsidRPr="00FF297C">
              <w:rPr>
                <w:rFonts w:eastAsia="Times New Roman"/>
                <w:color w:val="FFFFFF" w:themeColor="background1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B2FF" w:themeFill="text2" w:themeFillTint="99"/>
            <w:noWrap/>
            <w:vAlign w:val="center"/>
          </w:tcPr>
          <w:p w14:paraId="6CB5D644" w14:textId="77777777" w:rsidR="00FF297C" w:rsidRPr="00FF297C" w:rsidRDefault="00FF297C" w:rsidP="00D83350">
            <w:pPr>
              <w:spacing w:after="0" w:line="240" w:lineRule="auto"/>
              <w:jc w:val="both"/>
              <w:rPr>
                <w:rFonts w:eastAsia="Times New Roman"/>
                <w:color w:val="FFFFFF" w:themeColor="background1"/>
                <w:szCs w:val="20"/>
                <w:lang w:val="en-GB" w:eastAsia="en-GB"/>
              </w:rPr>
            </w:pPr>
            <w:r w:rsidRPr="001E5FDB">
              <w:rPr>
                <w:rFonts w:eastAsia="Times New Roman"/>
                <w:color w:val="FFFFFF" w:themeColor="background1"/>
                <w:szCs w:val="20"/>
                <w:lang w:val="en-GB" w:eastAsia="en-GB"/>
              </w:rPr>
              <w:t>Kashif Rehman</w:t>
            </w:r>
            <w:r w:rsidRPr="00FF297C">
              <w:rPr>
                <w:rFonts w:eastAsia="Times New Roman"/>
                <w:color w:val="FFFFFF" w:themeColor="background1"/>
                <w:szCs w:val="20"/>
                <w:lang w:val="en-GB" w:eastAsia="en-GB"/>
              </w:rPr>
              <w:t xml:space="preserve">, </w:t>
            </w:r>
            <w:hyperlink r:id="rId11" w:history="1">
              <w:r w:rsidRPr="001E5FDB">
                <w:rPr>
                  <w:rFonts w:eastAsia="Times New Roman"/>
                  <w:color w:val="FFFFFF" w:themeColor="background1"/>
                  <w:szCs w:val="20"/>
                  <w:u w:val="single"/>
                  <w:lang w:val="en-GB" w:eastAsia="en-GB"/>
                </w:rPr>
                <w:t>rehmanka@unhcr.org</w:t>
              </w:r>
            </w:hyperlink>
          </w:p>
        </w:tc>
      </w:tr>
      <w:tr w:rsidR="00FF297C" w:rsidRPr="00D65739" w14:paraId="6E38A4D4" w14:textId="77777777" w:rsidTr="00B353D3">
        <w:trPr>
          <w:trHeight w:val="972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B2FF" w:themeFill="text2" w:themeFillTint="99"/>
            <w:noWrap/>
            <w:vAlign w:val="center"/>
          </w:tcPr>
          <w:p w14:paraId="27738C8C" w14:textId="77777777" w:rsidR="00FF297C" w:rsidRPr="00FF297C" w:rsidRDefault="00FF297C" w:rsidP="00D83350">
            <w:pPr>
              <w:spacing w:after="0" w:line="240" w:lineRule="auto"/>
              <w:jc w:val="both"/>
              <w:rPr>
                <w:rFonts w:eastAsia="Times New Roman"/>
                <w:color w:val="FFFFFF" w:themeColor="background1"/>
                <w:szCs w:val="20"/>
                <w:lang w:val="en-GB" w:eastAsia="en-GB"/>
              </w:rPr>
            </w:pPr>
            <w:r w:rsidRPr="00FF297C">
              <w:rPr>
                <w:rFonts w:eastAsia="Times New Roman"/>
                <w:color w:val="FFFFFF" w:themeColor="background1"/>
                <w:szCs w:val="20"/>
                <w:lang w:val="en-GB" w:eastAsia="en-GB"/>
              </w:rPr>
              <w:t>Latin &amp; Central America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B2FF" w:themeFill="text2" w:themeFillTint="99"/>
            <w:noWrap/>
            <w:vAlign w:val="center"/>
          </w:tcPr>
          <w:p w14:paraId="16E3A157" w14:textId="77777777" w:rsidR="00FF297C" w:rsidRPr="00D65739" w:rsidRDefault="00FF297C" w:rsidP="00D83350">
            <w:pPr>
              <w:spacing w:after="0" w:line="240" w:lineRule="auto"/>
              <w:jc w:val="both"/>
              <w:rPr>
                <w:rFonts w:eastAsia="Times New Roman"/>
                <w:color w:val="FFFFFF" w:themeColor="background1"/>
                <w:szCs w:val="20"/>
                <w:lang w:val="fr-CH" w:eastAsia="en-GB"/>
              </w:rPr>
            </w:pPr>
            <w:r w:rsidRPr="00D65739">
              <w:rPr>
                <w:rFonts w:eastAsia="Times New Roman"/>
                <w:color w:val="FFFFFF" w:themeColor="background1"/>
                <w:szCs w:val="20"/>
                <w:lang w:val="fr-CH" w:eastAsia="en-GB"/>
              </w:rPr>
              <w:t xml:space="preserve">Boris Aristin, </w:t>
            </w:r>
            <w:hyperlink r:id="rId12" w:history="1">
              <w:r w:rsidRPr="00D65739">
                <w:rPr>
                  <w:rStyle w:val="Hyperlink"/>
                  <w:rFonts w:eastAsia="Times New Roman"/>
                  <w:color w:val="FFFFFF" w:themeColor="background1"/>
                  <w:szCs w:val="20"/>
                  <w:lang w:val="fr-CH" w:eastAsia="en-GB"/>
                </w:rPr>
                <w:t>aristing@unhcr.org</w:t>
              </w:r>
            </w:hyperlink>
            <w:r w:rsidRPr="00D65739">
              <w:rPr>
                <w:rFonts w:eastAsia="Times New Roman"/>
                <w:color w:val="FFFFFF" w:themeColor="background1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B2FF" w:themeFill="text2" w:themeFillTint="99"/>
            <w:noWrap/>
            <w:vAlign w:val="center"/>
          </w:tcPr>
          <w:p w14:paraId="35B14F36" w14:textId="77777777" w:rsidR="00FF297C" w:rsidRPr="00D65739" w:rsidRDefault="00FF297C" w:rsidP="00D83350">
            <w:pPr>
              <w:spacing w:after="0" w:line="240" w:lineRule="auto"/>
              <w:jc w:val="both"/>
              <w:rPr>
                <w:rFonts w:eastAsia="Times New Roman"/>
                <w:color w:val="FFFFFF" w:themeColor="background1"/>
                <w:szCs w:val="20"/>
                <w:lang w:val="fr-CH" w:eastAsia="en-GB"/>
              </w:rPr>
            </w:pPr>
            <w:r w:rsidRPr="00D65739">
              <w:rPr>
                <w:rFonts w:eastAsia="Times New Roman"/>
                <w:color w:val="FFFFFF" w:themeColor="background1"/>
                <w:szCs w:val="20"/>
                <w:lang w:val="fr-CH" w:eastAsia="en-GB"/>
              </w:rPr>
              <w:t xml:space="preserve">Boris Aristin, </w:t>
            </w:r>
            <w:hyperlink r:id="rId13" w:history="1">
              <w:r w:rsidRPr="00D65739">
                <w:rPr>
                  <w:rStyle w:val="Hyperlink"/>
                  <w:rFonts w:eastAsia="Times New Roman"/>
                  <w:color w:val="FFFFFF" w:themeColor="background1"/>
                  <w:szCs w:val="20"/>
                  <w:lang w:val="fr-CH" w:eastAsia="en-GB"/>
                </w:rPr>
                <w:t>aristing@unhcr.org</w:t>
              </w:r>
            </w:hyperlink>
          </w:p>
        </w:tc>
      </w:tr>
      <w:tr w:rsidR="00FF297C" w:rsidRPr="00FF297C" w14:paraId="374843F4" w14:textId="77777777" w:rsidTr="00B353D3">
        <w:trPr>
          <w:trHeight w:val="999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B2FF" w:themeFill="text2" w:themeFillTint="99"/>
            <w:noWrap/>
            <w:vAlign w:val="center"/>
          </w:tcPr>
          <w:p w14:paraId="0E184D88" w14:textId="77777777" w:rsidR="00FF297C" w:rsidRPr="00FF297C" w:rsidRDefault="00FF297C" w:rsidP="00D83350">
            <w:pPr>
              <w:spacing w:after="0" w:line="240" w:lineRule="auto"/>
              <w:jc w:val="both"/>
              <w:rPr>
                <w:rFonts w:eastAsia="Times New Roman"/>
                <w:color w:val="FFFFFF" w:themeColor="background1"/>
                <w:szCs w:val="20"/>
                <w:lang w:val="en-GB" w:eastAsia="en-GB"/>
              </w:rPr>
            </w:pPr>
            <w:r w:rsidRPr="00FF297C">
              <w:rPr>
                <w:rFonts w:eastAsia="Times New Roman"/>
                <w:color w:val="FFFFFF" w:themeColor="background1"/>
                <w:szCs w:val="20"/>
                <w:lang w:val="en-GB" w:eastAsia="en-GB"/>
              </w:rPr>
              <w:t>MENA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B2FF" w:themeFill="text2" w:themeFillTint="99"/>
            <w:noWrap/>
            <w:vAlign w:val="center"/>
          </w:tcPr>
          <w:p w14:paraId="55631F44" w14:textId="1E25FD94" w:rsidR="00FF297C" w:rsidRPr="00D65739" w:rsidRDefault="0056169A" w:rsidP="00D83350">
            <w:pPr>
              <w:spacing w:after="0" w:line="240" w:lineRule="auto"/>
              <w:jc w:val="both"/>
              <w:rPr>
                <w:rFonts w:eastAsia="Times New Roman"/>
                <w:color w:val="FFFFFF" w:themeColor="background1"/>
                <w:szCs w:val="20"/>
                <w:lang w:val="de-CH" w:eastAsia="en-GB"/>
              </w:rPr>
            </w:pPr>
            <w:r w:rsidRPr="0056169A">
              <w:rPr>
                <w:rFonts w:eastAsia="Times New Roman"/>
                <w:color w:val="FFFFFF" w:themeColor="background1"/>
                <w:szCs w:val="20"/>
                <w:lang w:val="de-CH" w:eastAsia="en-GB"/>
              </w:rPr>
              <w:t>Julien MARNEFFE</w:t>
            </w:r>
            <w:r w:rsidR="00FF297C" w:rsidRPr="00D65739">
              <w:rPr>
                <w:rFonts w:eastAsia="Times New Roman"/>
                <w:color w:val="FFFFFF" w:themeColor="background1"/>
                <w:szCs w:val="20"/>
                <w:lang w:val="de-CH" w:eastAsia="en-GB"/>
              </w:rPr>
              <w:t xml:space="preserve">, </w:t>
            </w:r>
            <w:r>
              <w:br/>
            </w:r>
            <w:hyperlink r:id="rId14" w:history="1">
              <w:r w:rsidRPr="00F03955">
                <w:rPr>
                  <w:rStyle w:val="Hyperlink"/>
                  <w:rFonts w:eastAsia="Times New Roman"/>
                  <w:szCs w:val="20"/>
                  <w:lang w:val="de-CH" w:eastAsia="en-GB"/>
                </w:rPr>
                <w:t>marneffe@unhcr.org</w:t>
              </w:r>
            </w:hyperlink>
            <w:r>
              <w:rPr>
                <w:rFonts w:eastAsia="Times New Roman"/>
                <w:color w:val="FFFFFF" w:themeColor="background1"/>
                <w:szCs w:val="20"/>
                <w:lang w:val="de-CH" w:eastAsia="en-GB"/>
              </w:rPr>
              <w:t xml:space="preserve">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B2FF" w:themeFill="text2" w:themeFillTint="99"/>
            <w:noWrap/>
            <w:vAlign w:val="center"/>
          </w:tcPr>
          <w:p w14:paraId="56B34AC5" w14:textId="77777777" w:rsidR="00FF297C" w:rsidRPr="00FF297C" w:rsidRDefault="00FF297C" w:rsidP="00D83350">
            <w:pPr>
              <w:spacing w:after="0" w:line="240" w:lineRule="auto"/>
              <w:jc w:val="both"/>
              <w:rPr>
                <w:rFonts w:eastAsia="Times New Roman"/>
                <w:color w:val="FFFFFF" w:themeColor="background1"/>
                <w:szCs w:val="20"/>
                <w:lang w:val="en-GB" w:eastAsia="en-GB"/>
              </w:rPr>
            </w:pPr>
            <w:r w:rsidRPr="001E5FDB">
              <w:rPr>
                <w:rFonts w:eastAsia="Times New Roman"/>
                <w:color w:val="FFFFFF" w:themeColor="background1"/>
                <w:szCs w:val="20"/>
                <w:lang w:val="en-GB" w:eastAsia="en-GB"/>
              </w:rPr>
              <w:t>Kashif Rehman</w:t>
            </w:r>
            <w:r w:rsidRPr="00FF297C">
              <w:rPr>
                <w:rFonts w:eastAsia="Times New Roman"/>
                <w:color w:val="FFFFFF" w:themeColor="background1"/>
                <w:szCs w:val="20"/>
                <w:lang w:val="en-GB" w:eastAsia="en-GB"/>
              </w:rPr>
              <w:t xml:space="preserve">, </w:t>
            </w:r>
            <w:hyperlink r:id="rId15" w:history="1">
              <w:r w:rsidRPr="001E5FDB">
                <w:rPr>
                  <w:rFonts w:eastAsia="Times New Roman"/>
                  <w:color w:val="FFFFFF" w:themeColor="background1"/>
                  <w:szCs w:val="20"/>
                  <w:u w:val="single"/>
                  <w:lang w:val="en-GB" w:eastAsia="en-GB"/>
                </w:rPr>
                <w:t>rehmanka@unhcr.org</w:t>
              </w:r>
            </w:hyperlink>
          </w:p>
        </w:tc>
      </w:tr>
      <w:tr w:rsidR="00FF297C" w:rsidRPr="00D65739" w14:paraId="56FF2726" w14:textId="77777777" w:rsidTr="00B353D3">
        <w:trPr>
          <w:trHeight w:val="971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B2FF" w:themeFill="text2" w:themeFillTint="99"/>
            <w:noWrap/>
            <w:vAlign w:val="center"/>
          </w:tcPr>
          <w:p w14:paraId="6A63C00E" w14:textId="77777777" w:rsidR="00FF297C" w:rsidRPr="00FF297C" w:rsidRDefault="00FF297C" w:rsidP="00D83350">
            <w:pPr>
              <w:spacing w:after="0" w:line="240" w:lineRule="auto"/>
              <w:jc w:val="both"/>
              <w:rPr>
                <w:rFonts w:eastAsia="Times New Roman"/>
                <w:color w:val="FFFFFF" w:themeColor="background1"/>
                <w:szCs w:val="20"/>
                <w:lang w:val="en-GB" w:eastAsia="en-GB"/>
              </w:rPr>
            </w:pPr>
            <w:r w:rsidRPr="00FF297C">
              <w:rPr>
                <w:rFonts w:eastAsia="Times New Roman"/>
                <w:color w:val="FFFFFF" w:themeColor="background1"/>
                <w:szCs w:val="20"/>
                <w:lang w:val="en-GB" w:eastAsia="en-GB"/>
              </w:rPr>
              <w:t>West &amp; Central Africa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B2FF" w:themeFill="text2" w:themeFillTint="99"/>
            <w:noWrap/>
            <w:vAlign w:val="center"/>
          </w:tcPr>
          <w:p w14:paraId="0FCBBFD1" w14:textId="77777777" w:rsidR="00FF297C" w:rsidRPr="00D65739" w:rsidRDefault="00FF297C" w:rsidP="00D83350">
            <w:pPr>
              <w:spacing w:after="0" w:line="240" w:lineRule="auto"/>
              <w:jc w:val="both"/>
              <w:rPr>
                <w:rFonts w:eastAsia="Times New Roman"/>
                <w:color w:val="FFFFFF" w:themeColor="background1"/>
                <w:szCs w:val="20"/>
                <w:lang w:val="fr-CH" w:eastAsia="en-GB"/>
              </w:rPr>
            </w:pPr>
            <w:proofErr w:type="spellStart"/>
            <w:r w:rsidRPr="00D65739">
              <w:rPr>
                <w:rFonts w:eastAsia="Times New Roman"/>
                <w:color w:val="FFFFFF" w:themeColor="background1"/>
                <w:szCs w:val="20"/>
                <w:lang w:val="fr-CH" w:eastAsia="en-GB"/>
              </w:rPr>
              <w:t>Noemi</w:t>
            </w:r>
            <w:proofErr w:type="spellEnd"/>
            <w:r w:rsidRPr="00D65739">
              <w:rPr>
                <w:rFonts w:eastAsia="Times New Roman"/>
                <w:color w:val="FFFFFF" w:themeColor="background1"/>
                <w:szCs w:val="20"/>
                <w:lang w:val="fr-CH" w:eastAsia="en-GB"/>
              </w:rPr>
              <w:t xml:space="preserve"> Dalmonte, </w:t>
            </w:r>
            <w:hyperlink r:id="rId16" w:history="1">
              <w:r w:rsidRPr="00D65739">
                <w:rPr>
                  <w:rStyle w:val="Hyperlink"/>
                  <w:rFonts w:eastAsia="Times New Roman"/>
                  <w:color w:val="FFFFFF" w:themeColor="background1"/>
                  <w:szCs w:val="20"/>
                  <w:lang w:val="fr-CH" w:eastAsia="en-GB"/>
                </w:rPr>
                <w:t>dozin@unhcr.org</w:t>
              </w:r>
            </w:hyperlink>
            <w:r w:rsidRPr="00D65739">
              <w:rPr>
                <w:rFonts w:eastAsia="Times New Roman"/>
                <w:color w:val="FFFFFF" w:themeColor="background1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B2FF" w:themeFill="text2" w:themeFillTint="99"/>
            <w:noWrap/>
            <w:vAlign w:val="center"/>
          </w:tcPr>
          <w:p w14:paraId="168A6987" w14:textId="77777777" w:rsidR="00FF297C" w:rsidRPr="00D65739" w:rsidRDefault="00FF297C" w:rsidP="00D83350">
            <w:pPr>
              <w:spacing w:after="0" w:line="240" w:lineRule="auto"/>
              <w:jc w:val="both"/>
              <w:rPr>
                <w:rFonts w:eastAsia="Times New Roman"/>
                <w:color w:val="FFFFFF" w:themeColor="background1"/>
                <w:szCs w:val="20"/>
                <w:lang w:val="fr-CH" w:eastAsia="en-GB"/>
              </w:rPr>
            </w:pPr>
            <w:r w:rsidRPr="00D65739">
              <w:rPr>
                <w:rFonts w:eastAsia="Times New Roman"/>
                <w:color w:val="FFFFFF" w:themeColor="background1"/>
                <w:szCs w:val="20"/>
                <w:lang w:val="fr-CH" w:eastAsia="en-GB"/>
              </w:rPr>
              <w:t xml:space="preserve">Boris Aristin, </w:t>
            </w:r>
            <w:hyperlink r:id="rId17" w:history="1">
              <w:r w:rsidRPr="00D65739">
                <w:rPr>
                  <w:rStyle w:val="Hyperlink"/>
                  <w:rFonts w:eastAsia="Times New Roman"/>
                  <w:color w:val="FFFFFF" w:themeColor="background1"/>
                  <w:szCs w:val="20"/>
                  <w:lang w:val="fr-CH" w:eastAsia="en-GB"/>
                </w:rPr>
                <w:t>aristing@unhcr.org</w:t>
              </w:r>
            </w:hyperlink>
          </w:p>
        </w:tc>
      </w:tr>
    </w:tbl>
    <w:p w14:paraId="22FDDEEE" w14:textId="2A86C48A" w:rsidR="00CE0FE0" w:rsidRPr="00D65739" w:rsidRDefault="00CE0FE0" w:rsidP="00D83350">
      <w:pPr>
        <w:ind w:left="360" w:hanging="360"/>
        <w:jc w:val="both"/>
        <w:rPr>
          <w:lang w:val="fr-CH"/>
        </w:rPr>
      </w:pPr>
      <w:r w:rsidRPr="00D65739">
        <w:rPr>
          <w:lang w:val="fr-CH"/>
        </w:rPr>
        <w:t xml:space="preserve"> </w:t>
      </w:r>
    </w:p>
    <w:sectPr w:rsidR="00CE0FE0" w:rsidRPr="00D65739" w:rsidSect="0003153C">
      <w:headerReference w:type="default" r:id="rId18"/>
      <w:footerReference w:type="default" r:id="rId19"/>
      <w:pgSz w:w="11900" w:h="16840" w:code="9"/>
      <w:pgMar w:top="1814" w:right="1797" w:bottom="1418" w:left="179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F4AA5" w14:textId="77777777" w:rsidR="0041558A" w:rsidRDefault="0041558A" w:rsidP="003E43F6">
      <w:pPr>
        <w:spacing w:after="0" w:line="240" w:lineRule="auto"/>
      </w:pPr>
      <w:r>
        <w:separator/>
      </w:r>
    </w:p>
  </w:endnote>
  <w:endnote w:type="continuationSeparator" w:id="0">
    <w:p w14:paraId="109299F6" w14:textId="77777777" w:rsidR="0041558A" w:rsidRDefault="0041558A" w:rsidP="003E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LTPro-Bd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-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1908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B4091" w14:textId="77777777" w:rsidR="00265E63" w:rsidRDefault="00265E63" w:rsidP="0003153C">
        <w:pPr>
          <w:pStyle w:val="Footer"/>
          <w:rPr>
            <w:noProof/>
          </w:rPr>
        </w:pPr>
        <w:r w:rsidRPr="008314E0">
          <w:fldChar w:fldCharType="begin"/>
        </w:r>
        <w:r w:rsidRPr="008314E0">
          <w:instrText xml:space="preserve"> PAGE   \* MERGEFORMAT </w:instrText>
        </w:r>
        <w:r w:rsidRPr="008314E0">
          <w:fldChar w:fldCharType="separate"/>
        </w:r>
        <w:r>
          <w:rPr>
            <w:noProof/>
          </w:rPr>
          <w:t>1</w:t>
        </w:r>
        <w:r w:rsidRPr="008314E0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08A6D" w14:textId="77777777" w:rsidR="0041558A" w:rsidRDefault="0041558A" w:rsidP="003E43F6">
      <w:pPr>
        <w:spacing w:after="0" w:line="240" w:lineRule="auto"/>
      </w:pPr>
      <w:r>
        <w:separator/>
      </w:r>
    </w:p>
  </w:footnote>
  <w:footnote w:type="continuationSeparator" w:id="0">
    <w:p w14:paraId="52E6E0F7" w14:textId="77777777" w:rsidR="0041558A" w:rsidRDefault="0041558A" w:rsidP="003E4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49E65" w14:textId="1AE35E69" w:rsidR="004A71AF" w:rsidRDefault="00BC0760" w:rsidP="007A51D0">
    <w:pPr>
      <w:autoSpaceDE w:val="0"/>
      <w:autoSpaceDN w:val="0"/>
      <w:adjustRightInd w:val="0"/>
      <w:spacing w:after="0" w:line="240" w:lineRule="auto"/>
      <w:jc w:val="center"/>
    </w:pPr>
    <w:r>
      <w:rPr>
        <w:noProof/>
      </w:rPr>
      <w:drawing>
        <wp:inline distT="0" distB="0" distL="0" distR="0" wp14:anchorId="1C2412FF" wp14:editId="14AB150C">
          <wp:extent cx="5274310" cy="628015"/>
          <wp:effectExtent l="0" t="0" r="254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ogle Shape;48;p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51D0">
      <w:rPr>
        <w:rFonts w:ascii="Lato-Black" w:eastAsiaTheme="minorHAnsi" w:hAnsi="Lato-Black" w:cs="Lato-Black"/>
        <w:sz w:val="36"/>
        <w:szCs w:val="36"/>
        <w:lang w:val="en-GB"/>
      </w:rPr>
      <w:br/>
    </w:r>
    <w:r w:rsidR="004A71AF">
      <w:rPr>
        <w:rFonts w:ascii="Lato-Black" w:eastAsiaTheme="minorHAnsi" w:hAnsi="Lato-Black" w:cs="Lato-Black"/>
        <w:sz w:val="36"/>
        <w:szCs w:val="36"/>
        <w:lang w:val="en-GB"/>
      </w:rPr>
      <w:t xml:space="preserve">Protection Cluster </w:t>
    </w:r>
    <w:r w:rsidR="00F213E0">
      <w:rPr>
        <w:rFonts w:ascii="Lato-Black" w:eastAsiaTheme="minorHAnsi" w:hAnsi="Lato-Black" w:cs="Lato-Black"/>
        <w:sz w:val="36"/>
        <w:szCs w:val="36"/>
        <w:lang w:val="en-GB"/>
      </w:rPr>
      <w:t>&amp; AoRs Joint Analysis</w:t>
    </w:r>
    <w:r w:rsidR="003F31AF">
      <w:rPr>
        <w:rFonts w:ascii="Lato-Black" w:eastAsiaTheme="minorHAnsi" w:hAnsi="Lato-Black" w:cs="Lato-Black"/>
        <w:sz w:val="36"/>
        <w:szCs w:val="36"/>
        <w:lang w:val="en-GB"/>
      </w:rPr>
      <w:t xml:space="preserve"> Note</w:t>
    </w:r>
    <w:r w:rsidR="001832FE">
      <w:rPr>
        <w:rFonts w:ascii="Lato-Black" w:eastAsiaTheme="minorHAnsi" w:hAnsi="Lato-Black" w:cs="Lato-Black"/>
        <w:szCs w:val="20"/>
        <w:lang w:val="en-GB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511A1"/>
    <w:multiLevelType w:val="hybridMultilevel"/>
    <w:tmpl w:val="E8440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1354"/>
    <w:multiLevelType w:val="hybridMultilevel"/>
    <w:tmpl w:val="51ACCB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005EA"/>
    <w:multiLevelType w:val="hybridMultilevel"/>
    <w:tmpl w:val="CFE66922"/>
    <w:lvl w:ilvl="0" w:tplc="A0FEB704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FB8EFA86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  <w:b/>
        <w:bCs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44FC7"/>
    <w:multiLevelType w:val="hybridMultilevel"/>
    <w:tmpl w:val="02E2D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11F6C"/>
    <w:multiLevelType w:val="hybridMultilevel"/>
    <w:tmpl w:val="44B65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25E2B"/>
    <w:multiLevelType w:val="multilevel"/>
    <w:tmpl w:val="0409001D"/>
    <w:numStyleLink w:val="List-Bullets"/>
  </w:abstractNum>
  <w:abstractNum w:abstractNumId="6" w15:restartNumberingAfterBreak="0">
    <w:nsid w:val="3AC26019"/>
    <w:multiLevelType w:val="hybridMultilevel"/>
    <w:tmpl w:val="3D541074"/>
    <w:lvl w:ilvl="0" w:tplc="77903CFA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eastAsia="HelveticaNeueLTPro-Bd" w:hAnsi="Times New Roman" w:cs="Times New Roman" w:hint="default"/>
        <w:b/>
        <w:bCs/>
        <w:color w:val="007AC2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A028E"/>
    <w:multiLevelType w:val="hybridMultilevel"/>
    <w:tmpl w:val="C136A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52674"/>
    <w:multiLevelType w:val="hybridMultilevel"/>
    <w:tmpl w:val="96664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C085D"/>
    <w:multiLevelType w:val="hybridMultilevel"/>
    <w:tmpl w:val="746CCC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995BA7"/>
    <w:multiLevelType w:val="hybridMultilevel"/>
    <w:tmpl w:val="5EBA82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7C6854"/>
    <w:multiLevelType w:val="hybridMultilevel"/>
    <w:tmpl w:val="4DE00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65A0F"/>
    <w:multiLevelType w:val="hybridMultilevel"/>
    <w:tmpl w:val="0D76A4C6"/>
    <w:lvl w:ilvl="0" w:tplc="B6B61BF0">
      <w:start w:val="1"/>
      <w:numFmt w:val="decimal"/>
      <w:pStyle w:val="Number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8D76FB"/>
    <w:multiLevelType w:val="hybridMultilevel"/>
    <w:tmpl w:val="F5BA74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A45E4C"/>
    <w:multiLevelType w:val="hybridMultilevel"/>
    <w:tmpl w:val="E6A84D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B309B5"/>
    <w:multiLevelType w:val="multilevel"/>
    <w:tmpl w:val="0409001D"/>
    <w:styleLink w:val="List-Bullets"/>
    <w:lvl w:ilvl="0">
      <w:start w:val="1"/>
      <w:numFmt w:val="bullet"/>
      <w:pStyle w:val="ListParagraph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7AC2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color w:val="007AC2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007AC2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007AC2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007AC2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007AC2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007AC2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007AC2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007AC2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2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13"/>
  </w:num>
  <w:num w:numId="10">
    <w:abstractNumId w:val="11"/>
  </w:num>
  <w:num w:numId="11">
    <w:abstractNumId w:val="9"/>
  </w:num>
  <w:num w:numId="12">
    <w:abstractNumId w:val="14"/>
  </w:num>
  <w:num w:numId="13">
    <w:abstractNumId w:val="10"/>
  </w:num>
  <w:num w:numId="14">
    <w:abstractNumId w:val="4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40"/>
    <w:rsid w:val="00022899"/>
    <w:rsid w:val="00022A7B"/>
    <w:rsid w:val="00027406"/>
    <w:rsid w:val="0003153C"/>
    <w:rsid w:val="00031C75"/>
    <w:rsid w:val="00040C9E"/>
    <w:rsid w:val="00046CC3"/>
    <w:rsid w:val="000529DC"/>
    <w:rsid w:val="00053850"/>
    <w:rsid w:val="00057841"/>
    <w:rsid w:val="0006392E"/>
    <w:rsid w:val="00066EB3"/>
    <w:rsid w:val="00072A60"/>
    <w:rsid w:val="00072F1F"/>
    <w:rsid w:val="00082C5C"/>
    <w:rsid w:val="000A66B1"/>
    <w:rsid w:val="000C038B"/>
    <w:rsid w:val="000D1B81"/>
    <w:rsid w:val="000D3513"/>
    <w:rsid w:val="000F4551"/>
    <w:rsid w:val="000F522B"/>
    <w:rsid w:val="000F5F95"/>
    <w:rsid w:val="000F7934"/>
    <w:rsid w:val="0010683E"/>
    <w:rsid w:val="001073D8"/>
    <w:rsid w:val="00123793"/>
    <w:rsid w:val="001311D2"/>
    <w:rsid w:val="0014014A"/>
    <w:rsid w:val="001832FE"/>
    <w:rsid w:val="00183C8F"/>
    <w:rsid w:val="001A1966"/>
    <w:rsid w:val="001A48DD"/>
    <w:rsid w:val="001B02F7"/>
    <w:rsid w:val="001C1171"/>
    <w:rsid w:val="001C160F"/>
    <w:rsid w:val="001C7525"/>
    <w:rsid w:val="001C7E53"/>
    <w:rsid w:val="001D0D9F"/>
    <w:rsid w:val="001D1AB5"/>
    <w:rsid w:val="001D6C2B"/>
    <w:rsid w:val="001E1216"/>
    <w:rsid w:val="001E18DE"/>
    <w:rsid w:val="001E2659"/>
    <w:rsid w:val="001E5453"/>
    <w:rsid w:val="001F3644"/>
    <w:rsid w:val="001F51EA"/>
    <w:rsid w:val="0020045B"/>
    <w:rsid w:val="00207E6A"/>
    <w:rsid w:val="00222723"/>
    <w:rsid w:val="002239C2"/>
    <w:rsid w:val="00226219"/>
    <w:rsid w:val="00235F63"/>
    <w:rsid w:val="00241E9E"/>
    <w:rsid w:val="00255C25"/>
    <w:rsid w:val="00263507"/>
    <w:rsid w:val="00265E63"/>
    <w:rsid w:val="00282BB8"/>
    <w:rsid w:val="00283D27"/>
    <w:rsid w:val="00284E3A"/>
    <w:rsid w:val="00296587"/>
    <w:rsid w:val="002D042C"/>
    <w:rsid w:val="002D0D0E"/>
    <w:rsid w:val="002D2382"/>
    <w:rsid w:val="002D3AC2"/>
    <w:rsid w:val="002D481A"/>
    <w:rsid w:val="002D4CF4"/>
    <w:rsid w:val="002F6342"/>
    <w:rsid w:val="002F6E25"/>
    <w:rsid w:val="002F7D57"/>
    <w:rsid w:val="003041C3"/>
    <w:rsid w:val="00304204"/>
    <w:rsid w:val="003200FF"/>
    <w:rsid w:val="00330615"/>
    <w:rsid w:val="00343AB3"/>
    <w:rsid w:val="0035031D"/>
    <w:rsid w:val="00357DBD"/>
    <w:rsid w:val="00371C55"/>
    <w:rsid w:val="0037339F"/>
    <w:rsid w:val="00380A7C"/>
    <w:rsid w:val="003824E2"/>
    <w:rsid w:val="00386E39"/>
    <w:rsid w:val="003B239E"/>
    <w:rsid w:val="003B3C0D"/>
    <w:rsid w:val="003C0BCA"/>
    <w:rsid w:val="003C2710"/>
    <w:rsid w:val="003C2D97"/>
    <w:rsid w:val="003C6C39"/>
    <w:rsid w:val="003D46E3"/>
    <w:rsid w:val="003D6C3F"/>
    <w:rsid w:val="003E43F6"/>
    <w:rsid w:val="003F31AF"/>
    <w:rsid w:val="003F4F74"/>
    <w:rsid w:val="003F5659"/>
    <w:rsid w:val="003F72A2"/>
    <w:rsid w:val="003F7553"/>
    <w:rsid w:val="00407DE1"/>
    <w:rsid w:val="004101CF"/>
    <w:rsid w:val="0041558A"/>
    <w:rsid w:val="00422A66"/>
    <w:rsid w:val="00424426"/>
    <w:rsid w:val="0042675B"/>
    <w:rsid w:val="00434132"/>
    <w:rsid w:val="00442963"/>
    <w:rsid w:val="00442D58"/>
    <w:rsid w:val="00454DC2"/>
    <w:rsid w:val="00455845"/>
    <w:rsid w:val="00463DF2"/>
    <w:rsid w:val="00466764"/>
    <w:rsid w:val="00473D6B"/>
    <w:rsid w:val="004764E3"/>
    <w:rsid w:val="0048588B"/>
    <w:rsid w:val="00494092"/>
    <w:rsid w:val="004946B9"/>
    <w:rsid w:val="004A5354"/>
    <w:rsid w:val="004A6E54"/>
    <w:rsid w:val="004A71AF"/>
    <w:rsid w:val="004B055E"/>
    <w:rsid w:val="004C01BB"/>
    <w:rsid w:val="004C38A5"/>
    <w:rsid w:val="004D0940"/>
    <w:rsid w:val="004D32C2"/>
    <w:rsid w:val="004E5CC3"/>
    <w:rsid w:val="004E7835"/>
    <w:rsid w:val="004F0664"/>
    <w:rsid w:val="004F3CD8"/>
    <w:rsid w:val="005049F3"/>
    <w:rsid w:val="00506FB9"/>
    <w:rsid w:val="0051575E"/>
    <w:rsid w:val="005271C9"/>
    <w:rsid w:val="00537A7B"/>
    <w:rsid w:val="0054275D"/>
    <w:rsid w:val="00543618"/>
    <w:rsid w:val="0056169A"/>
    <w:rsid w:val="00571802"/>
    <w:rsid w:val="0057196A"/>
    <w:rsid w:val="00594B6D"/>
    <w:rsid w:val="00597342"/>
    <w:rsid w:val="005C344F"/>
    <w:rsid w:val="005D1C36"/>
    <w:rsid w:val="005E5A80"/>
    <w:rsid w:val="005F54B2"/>
    <w:rsid w:val="006242E1"/>
    <w:rsid w:val="006268D5"/>
    <w:rsid w:val="00626C11"/>
    <w:rsid w:val="00631AD1"/>
    <w:rsid w:val="00636ED1"/>
    <w:rsid w:val="00640315"/>
    <w:rsid w:val="00644913"/>
    <w:rsid w:val="006452C0"/>
    <w:rsid w:val="00660FA8"/>
    <w:rsid w:val="006675DB"/>
    <w:rsid w:val="006858AD"/>
    <w:rsid w:val="00687CFD"/>
    <w:rsid w:val="006934EE"/>
    <w:rsid w:val="006A0D73"/>
    <w:rsid w:val="006B03AF"/>
    <w:rsid w:val="006C339F"/>
    <w:rsid w:val="006D0C70"/>
    <w:rsid w:val="006D1353"/>
    <w:rsid w:val="006D212B"/>
    <w:rsid w:val="006D6B96"/>
    <w:rsid w:val="006E6E62"/>
    <w:rsid w:val="00703793"/>
    <w:rsid w:val="00710B7D"/>
    <w:rsid w:val="00714DEE"/>
    <w:rsid w:val="00715202"/>
    <w:rsid w:val="0073059B"/>
    <w:rsid w:val="00732CDE"/>
    <w:rsid w:val="00734B27"/>
    <w:rsid w:val="00736AFA"/>
    <w:rsid w:val="00746AD5"/>
    <w:rsid w:val="007479E3"/>
    <w:rsid w:val="00754C84"/>
    <w:rsid w:val="00763A92"/>
    <w:rsid w:val="00770C5F"/>
    <w:rsid w:val="00774603"/>
    <w:rsid w:val="0077766F"/>
    <w:rsid w:val="00785227"/>
    <w:rsid w:val="007862C3"/>
    <w:rsid w:val="00787C97"/>
    <w:rsid w:val="00796C9E"/>
    <w:rsid w:val="007A51D0"/>
    <w:rsid w:val="007A5AED"/>
    <w:rsid w:val="007B221B"/>
    <w:rsid w:val="007C1CB6"/>
    <w:rsid w:val="007C317B"/>
    <w:rsid w:val="007C3FCF"/>
    <w:rsid w:val="007C54E6"/>
    <w:rsid w:val="007D0417"/>
    <w:rsid w:val="007D287B"/>
    <w:rsid w:val="007D6E51"/>
    <w:rsid w:val="007E2C79"/>
    <w:rsid w:val="007E6105"/>
    <w:rsid w:val="00810D3D"/>
    <w:rsid w:val="008141D4"/>
    <w:rsid w:val="00814EE6"/>
    <w:rsid w:val="008164E4"/>
    <w:rsid w:val="00816F46"/>
    <w:rsid w:val="00821E4F"/>
    <w:rsid w:val="00833FEA"/>
    <w:rsid w:val="008348AB"/>
    <w:rsid w:val="008443C1"/>
    <w:rsid w:val="00850040"/>
    <w:rsid w:val="00852E7C"/>
    <w:rsid w:val="00872A6F"/>
    <w:rsid w:val="00877E2D"/>
    <w:rsid w:val="008850C4"/>
    <w:rsid w:val="00885F22"/>
    <w:rsid w:val="008B7560"/>
    <w:rsid w:val="008C45C1"/>
    <w:rsid w:val="008C70B6"/>
    <w:rsid w:val="008D00C9"/>
    <w:rsid w:val="008D10D3"/>
    <w:rsid w:val="008D369F"/>
    <w:rsid w:val="008E2B14"/>
    <w:rsid w:val="008F4B2F"/>
    <w:rsid w:val="00905746"/>
    <w:rsid w:val="00927F22"/>
    <w:rsid w:val="0093700E"/>
    <w:rsid w:val="00940D45"/>
    <w:rsid w:val="00951EC9"/>
    <w:rsid w:val="009529BD"/>
    <w:rsid w:val="00960882"/>
    <w:rsid w:val="00986FCE"/>
    <w:rsid w:val="00992C23"/>
    <w:rsid w:val="00996846"/>
    <w:rsid w:val="009A3461"/>
    <w:rsid w:val="009B24B5"/>
    <w:rsid w:val="009B5565"/>
    <w:rsid w:val="009C1F48"/>
    <w:rsid w:val="009D0652"/>
    <w:rsid w:val="009D786E"/>
    <w:rsid w:val="009E570C"/>
    <w:rsid w:val="009F4E28"/>
    <w:rsid w:val="009F64F5"/>
    <w:rsid w:val="00A00694"/>
    <w:rsid w:val="00A04182"/>
    <w:rsid w:val="00A13855"/>
    <w:rsid w:val="00A51780"/>
    <w:rsid w:val="00A654DA"/>
    <w:rsid w:val="00A659B6"/>
    <w:rsid w:val="00A65FBC"/>
    <w:rsid w:val="00A67D73"/>
    <w:rsid w:val="00A81D2C"/>
    <w:rsid w:val="00A83FDA"/>
    <w:rsid w:val="00A922E5"/>
    <w:rsid w:val="00AA5E4B"/>
    <w:rsid w:val="00AC1331"/>
    <w:rsid w:val="00AC7F8E"/>
    <w:rsid w:val="00AD167C"/>
    <w:rsid w:val="00AE131B"/>
    <w:rsid w:val="00AE6FFB"/>
    <w:rsid w:val="00B07F80"/>
    <w:rsid w:val="00B15859"/>
    <w:rsid w:val="00B259C4"/>
    <w:rsid w:val="00B269B9"/>
    <w:rsid w:val="00B43444"/>
    <w:rsid w:val="00B53CFB"/>
    <w:rsid w:val="00B54D8C"/>
    <w:rsid w:val="00B74818"/>
    <w:rsid w:val="00B77408"/>
    <w:rsid w:val="00B900EA"/>
    <w:rsid w:val="00B90FD0"/>
    <w:rsid w:val="00B94D70"/>
    <w:rsid w:val="00B96982"/>
    <w:rsid w:val="00BA110F"/>
    <w:rsid w:val="00BB2A82"/>
    <w:rsid w:val="00BB6CB6"/>
    <w:rsid w:val="00BC0760"/>
    <w:rsid w:val="00BE39EF"/>
    <w:rsid w:val="00BE3AE1"/>
    <w:rsid w:val="00BF7D4F"/>
    <w:rsid w:val="00C03E3F"/>
    <w:rsid w:val="00C04F62"/>
    <w:rsid w:val="00C10B80"/>
    <w:rsid w:val="00C132F3"/>
    <w:rsid w:val="00C259EC"/>
    <w:rsid w:val="00C270C5"/>
    <w:rsid w:val="00C34F64"/>
    <w:rsid w:val="00C35A8D"/>
    <w:rsid w:val="00C45F96"/>
    <w:rsid w:val="00C460AC"/>
    <w:rsid w:val="00C520BD"/>
    <w:rsid w:val="00C63BCC"/>
    <w:rsid w:val="00C63D72"/>
    <w:rsid w:val="00C86461"/>
    <w:rsid w:val="00CA0EA3"/>
    <w:rsid w:val="00CA1BD2"/>
    <w:rsid w:val="00CC083B"/>
    <w:rsid w:val="00CE0FE0"/>
    <w:rsid w:val="00CE48F8"/>
    <w:rsid w:val="00D003CC"/>
    <w:rsid w:val="00D031FF"/>
    <w:rsid w:val="00D07793"/>
    <w:rsid w:val="00D13B3B"/>
    <w:rsid w:val="00D373D9"/>
    <w:rsid w:val="00D5236F"/>
    <w:rsid w:val="00D63727"/>
    <w:rsid w:val="00D65155"/>
    <w:rsid w:val="00D65739"/>
    <w:rsid w:val="00D7293D"/>
    <w:rsid w:val="00D77908"/>
    <w:rsid w:val="00D80B64"/>
    <w:rsid w:val="00D83350"/>
    <w:rsid w:val="00D855A9"/>
    <w:rsid w:val="00D9474B"/>
    <w:rsid w:val="00D94AB8"/>
    <w:rsid w:val="00DA302F"/>
    <w:rsid w:val="00DA6903"/>
    <w:rsid w:val="00DA6E20"/>
    <w:rsid w:val="00DB3437"/>
    <w:rsid w:val="00DB4405"/>
    <w:rsid w:val="00DC0BDD"/>
    <w:rsid w:val="00DC4404"/>
    <w:rsid w:val="00DE5E24"/>
    <w:rsid w:val="00DF12F7"/>
    <w:rsid w:val="00DF56DE"/>
    <w:rsid w:val="00E0042E"/>
    <w:rsid w:val="00E022BC"/>
    <w:rsid w:val="00E2569F"/>
    <w:rsid w:val="00E26D91"/>
    <w:rsid w:val="00E358CC"/>
    <w:rsid w:val="00E4044A"/>
    <w:rsid w:val="00E56839"/>
    <w:rsid w:val="00E60B5D"/>
    <w:rsid w:val="00E62511"/>
    <w:rsid w:val="00E81343"/>
    <w:rsid w:val="00E84875"/>
    <w:rsid w:val="00EA1FBD"/>
    <w:rsid w:val="00EA3ACF"/>
    <w:rsid w:val="00EC025D"/>
    <w:rsid w:val="00EC5ADD"/>
    <w:rsid w:val="00ED3471"/>
    <w:rsid w:val="00EE06C2"/>
    <w:rsid w:val="00EE2D7C"/>
    <w:rsid w:val="00EE5A68"/>
    <w:rsid w:val="00EE607D"/>
    <w:rsid w:val="00EE7A4D"/>
    <w:rsid w:val="00EF3262"/>
    <w:rsid w:val="00EF51F0"/>
    <w:rsid w:val="00F0629C"/>
    <w:rsid w:val="00F13DD7"/>
    <w:rsid w:val="00F15626"/>
    <w:rsid w:val="00F213E0"/>
    <w:rsid w:val="00F275ED"/>
    <w:rsid w:val="00F300CB"/>
    <w:rsid w:val="00F325B5"/>
    <w:rsid w:val="00F37057"/>
    <w:rsid w:val="00F40AEE"/>
    <w:rsid w:val="00F458F9"/>
    <w:rsid w:val="00F65FD8"/>
    <w:rsid w:val="00F71D30"/>
    <w:rsid w:val="00F756BF"/>
    <w:rsid w:val="00F7633A"/>
    <w:rsid w:val="00F82D28"/>
    <w:rsid w:val="00F873A7"/>
    <w:rsid w:val="00FB3779"/>
    <w:rsid w:val="00FB58D4"/>
    <w:rsid w:val="00FB5911"/>
    <w:rsid w:val="00FC42CD"/>
    <w:rsid w:val="00FE1CA0"/>
    <w:rsid w:val="00FE5D2A"/>
    <w:rsid w:val="00FF297C"/>
    <w:rsid w:val="00FF3B84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D8084"/>
  <w15:chartTrackingRefBased/>
  <w15:docId w15:val="{24E94BC2-DA8D-4EE1-9A02-C9184C66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3F6"/>
    <w:pPr>
      <w:spacing w:after="280" w:line="336" w:lineRule="auto"/>
    </w:pPr>
    <w:rPr>
      <w:rFonts w:eastAsiaTheme="minorEastAsia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461"/>
    <w:pPr>
      <w:keepNext/>
      <w:keepLines/>
      <w:spacing w:line="264" w:lineRule="auto"/>
      <w:outlineLvl w:val="0"/>
    </w:pPr>
    <w:rPr>
      <w:rFonts w:eastAsiaTheme="majorEastAsia"/>
      <w:bCs/>
      <w:color w:val="0072BC" w:themeColor="text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461"/>
    <w:pPr>
      <w:keepNext/>
      <w:keepLines/>
      <w:spacing w:line="288" w:lineRule="auto"/>
      <w:outlineLvl w:val="1"/>
    </w:pPr>
    <w:rPr>
      <w:rFonts w:asciiTheme="majorHAnsi" w:eastAsiaTheme="majorEastAsia" w:hAnsiTheme="majorHAnsi" w:cstheme="majorBidi"/>
      <w:bCs/>
      <w:color w:val="0072BC" w:themeColor="text2"/>
      <w:sz w:val="36"/>
      <w:szCs w:val="36"/>
      <w:lang w:val="fr-CH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53C"/>
    <w:pPr>
      <w:keepNext/>
      <w:keepLines/>
      <w:spacing w:after="140" w:line="288" w:lineRule="auto"/>
      <w:outlineLvl w:val="2"/>
    </w:pPr>
    <w:rPr>
      <w:rFonts w:asciiTheme="majorHAnsi" w:eastAsiaTheme="majorEastAsia" w:hAnsiTheme="majorHAnsi" w:cstheme="majorBidi"/>
      <w:bCs/>
      <w:color w:val="0072BC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153C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Cs/>
      <w:color w:val="0072BC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34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7132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461"/>
    <w:rPr>
      <w:rFonts w:eastAsiaTheme="majorEastAsia" w:cs="Arial"/>
      <w:bCs/>
      <w:color w:val="0072BC" w:themeColor="text2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A3461"/>
    <w:rPr>
      <w:rFonts w:asciiTheme="majorHAnsi" w:eastAsiaTheme="majorEastAsia" w:hAnsiTheme="majorHAnsi" w:cstheme="majorBidi"/>
      <w:bCs/>
      <w:color w:val="0072BC" w:themeColor="text2"/>
      <w:sz w:val="36"/>
      <w:szCs w:val="36"/>
      <w:lang w:val="fr-CH"/>
    </w:rPr>
  </w:style>
  <w:style w:type="character" w:customStyle="1" w:styleId="Heading3Char">
    <w:name w:val="Heading 3 Char"/>
    <w:basedOn w:val="DefaultParagraphFont"/>
    <w:link w:val="Heading3"/>
    <w:uiPriority w:val="9"/>
    <w:rsid w:val="0003153C"/>
    <w:rPr>
      <w:rFonts w:asciiTheme="majorHAnsi" w:eastAsiaTheme="majorEastAsia" w:hAnsiTheme="majorHAnsi" w:cstheme="majorBidi"/>
      <w:bCs/>
      <w:color w:val="0072BC" w:themeColor="text2"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3153C"/>
    <w:rPr>
      <w:rFonts w:asciiTheme="majorHAnsi" w:eastAsiaTheme="majorEastAsia" w:hAnsiTheme="majorHAnsi" w:cstheme="majorBidi"/>
      <w:b/>
      <w:bCs/>
      <w:iCs/>
      <w:color w:val="0072BC" w:themeColor="text2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B269B9"/>
    <w:rPr>
      <w:b/>
      <w:bCs/>
      <w:i/>
      <w:iCs/>
      <w:color w:val="0072BC" w:themeColor="text2"/>
    </w:rPr>
  </w:style>
  <w:style w:type="character" w:styleId="Strong">
    <w:name w:val="Strong"/>
    <w:basedOn w:val="DefaultParagraphFont"/>
    <w:uiPriority w:val="22"/>
    <w:qFormat/>
    <w:rsid w:val="003E43F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269B9"/>
    <w:pPr>
      <w:pBdr>
        <w:left w:val="single" w:sz="24" w:space="14" w:color="FAEB00" w:themeColor="accent3"/>
      </w:pBdr>
      <w:spacing w:after="0" w:line="288" w:lineRule="auto"/>
    </w:pPr>
    <w:rPr>
      <w:iCs/>
      <w:color w:val="0072BC" w:themeColor="text2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B269B9"/>
    <w:rPr>
      <w:rFonts w:eastAsiaTheme="minorEastAsia" w:cs="Arial"/>
      <w:iCs/>
      <w:color w:val="0072BC" w:themeColor="text2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E43F6"/>
    <w:pPr>
      <w:numPr>
        <w:numId w:val="3"/>
      </w:numPr>
      <w:contextualSpacing/>
    </w:pPr>
    <w:rPr>
      <w:szCs w:val="20"/>
    </w:rPr>
  </w:style>
  <w:style w:type="numbering" w:customStyle="1" w:styleId="List-Bullets">
    <w:name w:val="List-Bullets"/>
    <w:uiPriority w:val="99"/>
    <w:rsid w:val="003E43F6"/>
    <w:pPr>
      <w:numPr>
        <w:numId w:val="2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B269B9"/>
    <w:pPr>
      <w:spacing w:after="200" w:line="240" w:lineRule="auto"/>
    </w:pPr>
    <w:rPr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43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F6"/>
    <w:rPr>
      <w:rFonts w:eastAsiaTheme="minorEastAsia" w:cs="Arial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43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F6"/>
    <w:rPr>
      <w:rFonts w:eastAsiaTheme="minorEastAsia" w:cs="Arial"/>
      <w:sz w:val="20"/>
      <w:szCs w:val="24"/>
      <w:lang w:val="en-US"/>
    </w:rPr>
  </w:style>
  <w:style w:type="paragraph" w:customStyle="1" w:styleId="Pullout">
    <w:name w:val="Pullout"/>
    <w:basedOn w:val="Quote"/>
    <w:link w:val="PulloutChar"/>
    <w:qFormat/>
    <w:rsid w:val="00B269B9"/>
    <w:pPr>
      <w:pBdr>
        <w:top w:val="single" w:sz="24" w:space="20" w:color="FFFFFF" w:themeColor="background1"/>
        <w:left w:val="single" w:sz="24" w:space="20" w:color="FAEB00" w:themeColor="accent3"/>
        <w:bottom w:val="single" w:sz="24" w:space="20" w:color="FFFFFF" w:themeColor="background1"/>
        <w:right w:val="single" w:sz="24" w:space="20" w:color="FFFFFF" w:themeColor="background1"/>
      </w:pBdr>
      <w:shd w:val="clear" w:color="auto" w:fill="FFFCDF"/>
      <w:spacing w:before="480" w:after="480"/>
      <w:ind w:left="400" w:right="400"/>
    </w:pPr>
    <w:rPr>
      <w:iCs w:val="0"/>
      <w:sz w:val="24"/>
    </w:rPr>
  </w:style>
  <w:style w:type="character" w:customStyle="1" w:styleId="PulloutChar">
    <w:name w:val="Pullout Char"/>
    <w:basedOn w:val="QuoteChar"/>
    <w:link w:val="Pullout"/>
    <w:rsid w:val="00B269B9"/>
    <w:rPr>
      <w:rFonts w:eastAsiaTheme="minorEastAsia" w:cs="Arial"/>
      <w:iCs w:val="0"/>
      <w:color w:val="0072BC" w:themeColor="text2"/>
      <w:sz w:val="24"/>
      <w:szCs w:val="24"/>
      <w:shd w:val="clear" w:color="auto" w:fill="FFFCDF"/>
      <w:lang w:val="en-US"/>
    </w:rPr>
  </w:style>
  <w:style w:type="paragraph" w:customStyle="1" w:styleId="Box">
    <w:name w:val="Box"/>
    <w:basedOn w:val="Normal"/>
    <w:qFormat/>
    <w:rsid w:val="003E43F6"/>
    <w:pPr>
      <w:pBdr>
        <w:top w:val="single" w:sz="8" w:space="20" w:color="81AADF" w:themeColor="accent4" w:themeTint="66"/>
        <w:left w:val="single" w:sz="8" w:space="20" w:color="81AADF" w:themeColor="accent4" w:themeTint="66"/>
        <w:bottom w:val="single" w:sz="8" w:space="20" w:color="81AADF" w:themeColor="accent4" w:themeTint="66"/>
        <w:right w:val="single" w:sz="8" w:space="20" w:color="81AADF" w:themeColor="accent4" w:themeTint="66"/>
      </w:pBdr>
      <w:shd w:val="clear" w:color="auto" w:fill="E0E7F5"/>
      <w:spacing w:before="400" w:after="400"/>
      <w:ind w:left="400" w:right="400"/>
    </w:pPr>
    <w:rPr>
      <w:lang w:val="en-GB"/>
    </w:rPr>
  </w:style>
  <w:style w:type="paragraph" w:customStyle="1" w:styleId="NumberList">
    <w:name w:val="Number List"/>
    <w:basedOn w:val="ListParagraph"/>
    <w:qFormat/>
    <w:rsid w:val="003E43F6"/>
    <w:pPr>
      <w:numPr>
        <w:numId w:val="4"/>
      </w:numPr>
      <w:spacing w:after="80"/>
      <w:ind w:left="357" w:hanging="357"/>
    </w:pPr>
  </w:style>
  <w:style w:type="paragraph" w:customStyle="1" w:styleId="BulletList">
    <w:name w:val="Bullet List"/>
    <w:basedOn w:val="ListParagraph"/>
    <w:qFormat/>
    <w:rsid w:val="003E43F6"/>
    <w:pPr>
      <w:spacing w:after="80"/>
      <w:ind w:left="357" w:hanging="357"/>
    </w:pPr>
  </w:style>
  <w:style w:type="character" w:customStyle="1" w:styleId="Heading5Char">
    <w:name w:val="Heading 5 Char"/>
    <w:basedOn w:val="DefaultParagraphFont"/>
    <w:link w:val="Heading5"/>
    <w:uiPriority w:val="9"/>
    <w:rsid w:val="009A3461"/>
    <w:rPr>
      <w:rFonts w:asciiTheme="majorHAnsi" w:eastAsiaTheme="majorEastAsia" w:hAnsiTheme="majorHAnsi" w:cstheme="majorBidi"/>
      <w:color w:val="D7132D" w:themeColor="accent1" w:themeShade="BF"/>
      <w:sz w:val="20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9A3461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A3461"/>
    <w:pPr>
      <w:spacing w:after="0" w:line="240" w:lineRule="auto"/>
      <w:contextualSpacing/>
    </w:pPr>
    <w:rPr>
      <w:rFonts w:eastAsiaTheme="majorEastAsia" w:cstheme="majorBidi"/>
      <w:b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461"/>
    <w:rPr>
      <w:rFonts w:eastAsiaTheme="majorEastAsia" w:cstheme="majorBidi"/>
      <w:b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461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A3461"/>
    <w:rPr>
      <w:rFonts w:eastAsiaTheme="minorEastAsia"/>
      <w:color w:val="5A5A5A" w:themeColor="text1" w:themeTint="A5"/>
      <w:spacing w:val="15"/>
      <w:sz w:val="32"/>
      <w:lang w:val="en-US"/>
    </w:rPr>
  </w:style>
  <w:style w:type="character" w:styleId="SubtleEmphasis">
    <w:name w:val="Subtle Emphasis"/>
    <w:basedOn w:val="DefaultParagraphFont"/>
    <w:uiPriority w:val="19"/>
    <w:qFormat/>
    <w:rsid w:val="009A346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A3461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9A3461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53C"/>
    <w:pPr>
      <w:pBdr>
        <w:top w:val="single" w:sz="4" w:space="10" w:color="EF4A60" w:themeColor="accent1"/>
        <w:bottom w:val="single" w:sz="4" w:space="10" w:color="EF4A60" w:themeColor="accent1"/>
      </w:pBdr>
      <w:spacing w:before="360" w:after="360"/>
      <w:ind w:left="864" w:right="864"/>
      <w:jc w:val="center"/>
    </w:pPr>
    <w:rPr>
      <w:i/>
      <w:iCs/>
      <w:color w:val="EF4A6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53C"/>
    <w:rPr>
      <w:rFonts w:eastAsiaTheme="minorEastAsia" w:cs="Arial"/>
      <w:i/>
      <w:iCs/>
      <w:color w:val="EF4A60" w:themeColor="accent1"/>
      <w:sz w:val="20"/>
      <w:szCs w:val="24"/>
      <w:lang w:val="en-US"/>
    </w:rPr>
  </w:style>
  <w:style w:type="paragraph" w:customStyle="1" w:styleId="Default">
    <w:name w:val="Default"/>
    <w:rsid w:val="00BB6C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6461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6461"/>
    <w:rPr>
      <w:rFonts w:eastAsiaTheme="minorEastAsia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8646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86461"/>
    <w:rPr>
      <w:color w:val="0072B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46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347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3471"/>
    <w:rPr>
      <w:rFonts w:eastAsiaTheme="minorEastAsia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D3471"/>
    <w:rPr>
      <w:vertAlign w:val="superscript"/>
    </w:rPr>
  </w:style>
  <w:style w:type="paragraph" w:styleId="NoSpacing">
    <w:name w:val="No Spacing"/>
    <w:uiPriority w:val="1"/>
    <w:qFormat/>
    <w:rsid w:val="00F756BF"/>
    <w:pPr>
      <w:spacing w:after="0" w:line="240" w:lineRule="auto"/>
    </w:pPr>
    <w:rPr>
      <w:rFonts w:eastAsiaTheme="minorEastAsia" w:cs="Arial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5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8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845"/>
    <w:rPr>
      <w:rFonts w:eastAsiaTheme="minorEastAsia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845"/>
    <w:rPr>
      <w:rFonts w:eastAsiaTheme="minorEastAsia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845"/>
    <w:rPr>
      <w:rFonts w:ascii="Segoe UI" w:eastAsiaTheme="minorEastAsia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35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risting@unhcr.or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risting@unhcr.org" TargetMode="External"/><Relationship Id="rId17" Type="http://schemas.openxmlformats.org/officeDocument/2006/relationships/hyperlink" Target="mailto:aristing@unhcr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ozin@unhcr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hmanka@unhcr.org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mailto:rehmanka@unhcr.org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mailto:gorham@unfpa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hmanka@unhcr.org" TargetMode="External"/><Relationship Id="rId14" Type="http://schemas.openxmlformats.org/officeDocument/2006/relationships/hyperlink" Target="mailto:marneffe@unhcr.org" TargetMode="Externa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77A4F.14688C4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UNHCR Theme">
      <a:dk1>
        <a:sysClr val="windowText" lastClr="000000"/>
      </a:dk1>
      <a:lt1>
        <a:sysClr val="window" lastClr="FFFFFF"/>
      </a:lt1>
      <a:dk2>
        <a:srgbClr val="0072BC"/>
      </a:dk2>
      <a:lt2>
        <a:srgbClr val="E7E6E6"/>
      </a:lt2>
      <a:accent1>
        <a:srgbClr val="EF4A60"/>
      </a:accent1>
      <a:accent2>
        <a:srgbClr val="00B398"/>
      </a:accent2>
      <a:accent3>
        <a:srgbClr val="FAEB00"/>
      </a:accent3>
      <a:accent4>
        <a:srgbClr val="18375F"/>
      </a:accent4>
      <a:accent5>
        <a:srgbClr val="80B9DE"/>
      </a:accent5>
      <a:accent6>
        <a:srgbClr val="A5A5A5"/>
      </a:accent6>
      <a:hlink>
        <a:srgbClr val="0072BC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050D803BE034CBEAE477B239A7EDF" ma:contentTypeVersion="16" ma:contentTypeDescription="Create a new document." ma:contentTypeScope="" ma:versionID="9d6d4b1bf0ddf4b4b598901eb5172bb6">
  <xsd:schema xmlns:xsd="http://www.w3.org/2001/XMLSchema" xmlns:xs="http://www.w3.org/2001/XMLSchema" xmlns:p="http://schemas.microsoft.com/office/2006/metadata/properties" xmlns:ns2="f9c27809-4287-4089-b372-ed66d4ae5532" xmlns:ns3="a7a6521e-3bb8-4ccc-a7e1-cb34b7e3d81d" targetNamespace="http://schemas.microsoft.com/office/2006/metadata/properties" ma:root="true" ma:fieldsID="d75914c7c1b02793fc54b38af3bcc159" ns2:_="" ns3:_="">
    <xsd:import namespace="f9c27809-4287-4089-b372-ed66d4ae5532"/>
    <xsd:import namespace="a7a6521e-3bb8-4ccc-a7e1-cb34b7e3d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27809-4287-4089-b372-ed66d4ae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6521e-3bb8-4ccc-a7e1-cb34b7e3d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a163c4-7aef-45cf-802c-7e9ce6ac4ea5}" ma:internalName="TaxCatchAll" ma:showField="CatchAllData" ma:web="a7a6521e-3bb8-4ccc-a7e1-cb34b7e3d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c27809-4287-4089-b372-ed66d4ae5532">
      <Terms xmlns="http://schemas.microsoft.com/office/infopath/2007/PartnerControls"/>
    </lcf76f155ced4ddcb4097134ff3c332f>
    <TaxCatchAll xmlns="a7a6521e-3bb8-4ccc-a7e1-cb34b7e3d81d" xsi:nil="true"/>
  </documentManagement>
</p:properties>
</file>

<file path=customXml/itemProps1.xml><?xml version="1.0" encoding="utf-8"?>
<ds:datastoreItem xmlns:ds="http://schemas.openxmlformats.org/officeDocument/2006/customXml" ds:itemID="{0C212026-5098-4575-A867-1FAAEBEA4F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C6EF87-7001-4B40-8F3A-C8019F0A450E}"/>
</file>

<file path=customXml/itemProps3.xml><?xml version="1.0" encoding="utf-8"?>
<ds:datastoreItem xmlns:ds="http://schemas.openxmlformats.org/officeDocument/2006/customXml" ds:itemID="{0F8A7407-46D5-4FA2-B68B-6B58C4D29D39}"/>
</file>

<file path=customXml/itemProps4.xml><?xml version="1.0" encoding="utf-8"?>
<ds:datastoreItem xmlns:ds="http://schemas.openxmlformats.org/officeDocument/2006/customXml" ds:itemID="{22583704-E2D8-49BE-88D5-6C6AE735B8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3911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Kashif Rehman</dc:creator>
  <cp:keywords/>
  <dc:description/>
  <cp:lastModifiedBy>Kashif Rehman</cp:lastModifiedBy>
  <cp:revision>69</cp:revision>
  <dcterms:created xsi:type="dcterms:W3CDTF">2021-09-18T16:28:00Z</dcterms:created>
  <dcterms:modified xsi:type="dcterms:W3CDTF">2021-09-21T09:40:00Z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0x0101008BB050D803BE034CBEAE477B239A7EDF</vt:lpwstr>
  </property>
</Properties>
</file>