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FB743" w14:textId="2329BADD" w:rsidR="00320379" w:rsidRPr="008207AB" w:rsidRDefault="000600F5" w:rsidP="00320379">
      <w:pPr>
        <w:spacing w:after="240"/>
        <w:jc w:val="both"/>
        <w:rPr>
          <w:rFonts w:asciiTheme="majorHAnsi" w:hAnsiTheme="majorHAnsi" w:cstheme="majorHAnsi"/>
          <w:lang w:val="en-GB"/>
        </w:rPr>
      </w:pPr>
      <w:bookmarkStart w:id="0" w:name="_GoBack"/>
      <w:bookmarkEnd w:id="0"/>
      <w:r w:rsidRPr="008207AB">
        <w:rPr>
          <w:rFonts w:asciiTheme="majorHAnsi" w:hAnsiTheme="majorHAnsi" w:cstheme="majorHAnsi"/>
          <w:lang w:val="en-GB"/>
        </w:rPr>
        <w:t xml:space="preserve">The </w:t>
      </w:r>
      <w:hyperlink r:id="rId11" w:history="1">
        <w:r w:rsidRPr="008207AB">
          <w:rPr>
            <w:rStyle w:val="Hyperlink"/>
            <w:rFonts w:asciiTheme="majorHAnsi" w:hAnsiTheme="majorHAnsi" w:cstheme="majorHAnsi"/>
            <w:lang w:val="en-GB"/>
          </w:rPr>
          <w:t>Human Rights Council's Special Procedures mandate holders</w:t>
        </w:r>
      </w:hyperlink>
      <w:r w:rsidRPr="008207AB">
        <w:rPr>
          <w:rFonts w:asciiTheme="majorHAnsi" w:hAnsiTheme="majorHAnsi" w:cstheme="majorHAnsi"/>
          <w:lang w:val="en-GB"/>
        </w:rPr>
        <w:t xml:space="preserve"> </w:t>
      </w:r>
      <w:r w:rsidR="006118C8">
        <w:rPr>
          <w:rFonts w:asciiTheme="majorHAnsi" w:hAnsiTheme="majorHAnsi" w:cstheme="majorHAnsi"/>
          <w:lang w:val="en-GB"/>
        </w:rPr>
        <w:t xml:space="preserve">(Special Procedures) </w:t>
      </w:r>
      <w:r w:rsidRPr="008207AB">
        <w:rPr>
          <w:rFonts w:asciiTheme="majorHAnsi" w:hAnsiTheme="majorHAnsi" w:cstheme="majorHAnsi"/>
          <w:lang w:val="en-GB"/>
        </w:rPr>
        <w:t xml:space="preserve">are made up of special rapporteurs, independent experts or working groups composed of five members who are appointed by the Council and who serve in their personal capacity. Special </w:t>
      </w:r>
      <w:r w:rsidR="009D3FFA">
        <w:rPr>
          <w:rFonts w:asciiTheme="majorHAnsi" w:hAnsiTheme="majorHAnsi" w:cstheme="majorHAnsi"/>
          <w:lang w:val="en-GB"/>
        </w:rPr>
        <w:t>P</w:t>
      </w:r>
      <w:r w:rsidRPr="008207AB">
        <w:rPr>
          <w:rFonts w:asciiTheme="majorHAnsi" w:hAnsiTheme="majorHAnsi" w:cstheme="majorHAnsi"/>
          <w:lang w:val="en-GB"/>
        </w:rPr>
        <w:t>rocedures undertake country visits; act on individual cases and concerns of a broader, structural nature by sending communications to States and other actors bringing alleged violations or abuses to their attention; conduct thematic studies and convene expert consultations; contribute to the development of international human rights standards; engage in advocacy; raise public awareness; and provide advice for technical cooperation.</w:t>
      </w:r>
      <w:r w:rsidR="009D3FFA" w:rsidRPr="009D3FFA">
        <w:rPr>
          <w:rFonts w:asciiTheme="majorHAnsi" w:hAnsiTheme="majorHAnsi" w:cstheme="majorHAnsi"/>
        </w:rPr>
        <w:t xml:space="preserve"> </w:t>
      </w:r>
      <w:r w:rsidR="009D3FFA">
        <w:rPr>
          <w:rFonts w:asciiTheme="majorHAnsi" w:hAnsiTheme="majorHAnsi" w:cstheme="majorHAnsi"/>
        </w:rPr>
        <w:t xml:space="preserve">Protection clusters, with their extensive experience and access on the ground, can bring information the attention of the </w:t>
      </w:r>
      <w:r w:rsidR="009D3FFA">
        <w:rPr>
          <w:rFonts w:asciiTheme="majorHAnsi" w:hAnsiTheme="majorHAnsi" w:cstheme="majorHAnsi"/>
          <w:lang w:val="en-GB"/>
        </w:rPr>
        <w:t>Special Procedures</w:t>
      </w:r>
      <w:r w:rsidR="009D3FFA">
        <w:rPr>
          <w:rFonts w:asciiTheme="majorHAnsi" w:hAnsiTheme="majorHAnsi" w:cstheme="majorHAnsi"/>
        </w:rPr>
        <w:t xml:space="preserve"> to better inform their work</w:t>
      </w:r>
    </w:p>
    <w:tbl>
      <w:tblPr>
        <w:tblStyle w:val="TableGrid"/>
        <w:tblW w:w="14479" w:type="dxa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0940"/>
      </w:tblGrid>
      <w:tr w:rsidR="00DA5E49" w:rsidRPr="000600F5" w14:paraId="23146F40" w14:textId="77777777" w:rsidTr="003A45D0">
        <w:trPr>
          <w:trHeight w:val="67"/>
        </w:trPr>
        <w:tc>
          <w:tcPr>
            <w:tcW w:w="14479" w:type="dxa"/>
            <w:gridSpan w:val="2"/>
            <w:tcBorders>
              <w:top w:val="single" w:sz="4" w:space="0" w:color="auto"/>
              <w:bottom w:val="nil"/>
            </w:tcBorders>
            <w:shd w:val="clear" w:color="auto" w:fill="ED7D31" w:themeFill="accent2"/>
          </w:tcPr>
          <w:p w14:paraId="2DF174A3" w14:textId="0D2E544F" w:rsidR="00DA5E49" w:rsidRPr="000600F5" w:rsidRDefault="00DA5E49" w:rsidP="003A45D0">
            <w:pPr>
              <w:spacing w:before="60" w:after="60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0600F5">
              <w:rPr>
                <w:rFonts w:asciiTheme="majorHAnsi" w:hAnsiTheme="majorHAnsi" w:cstheme="majorHAnsi"/>
                <w:b/>
                <w:bCs/>
                <w:color w:val="000000" w:themeColor="text1"/>
                <w:lang w:val="en-GB"/>
              </w:rPr>
              <w:t>How does it work?</w:t>
            </w:r>
          </w:p>
        </w:tc>
      </w:tr>
      <w:tr w:rsidR="00DA5E49" w:rsidRPr="000600F5" w14:paraId="01F3A923" w14:textId="77777777" w:rsidTr="003A45D0">
        <w:trPr>
          <w:trHeight w:val="67"/>
        </w:trPr>
        <w:tc>
          <w:tcPr>
            <w:tcW w:w="3539" w:type="dxa"/>
            <w:tcBorders>
              <w:top w:val="nil"/>
            </w:tcBorders>
          </w:tcPr>
          <w:p w14:paraId="3A83CFB1" w14:textId="77777777" w:rsidR="00DA5E49" w:rsidRPr="000600F5" w:rsidRDefault="00DA5E49" w:rsidP="003A45D0">
            <w:pPr>
              <w:spacing w:before="60" w:after="60"/>
              <w:rPr>
                <w:rFonts w:asciiTheme="majorHAnsi" w:hAnsiTheme="majorHAnsi" w:cstheme="majorHAnsi"/>
                <w:lang w:val="en-GB"/>
              </w:rPr>
            </w:pPr>
            <w:r w:rsidRPr="000600F5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Which human rights are covered?</w:t>
            </w:r>
          </w:p>
        </w:tc>
        <w:tc>
          <w:tcPr>
            <w:tcW w:w="10940" w:type="dxa"/>
            <w:tcBorders>
              <w:top w:val="nil"/>
            </w:tcBorders>
          </w:tcPr>
          <w:p w14:paraId="6DC38C8B" w14:textId="12F26B68" w:rsidR="00DA5E49" w:rsidRPr="000600F5" w:rsidRDefault="000600F5" w:rsidP="003A45D0">
            <w:pPr>
              <w:spacing w:before="60" w:after="60"/>
              <w:ind w:left="283"/>
              <w:rPr>
                <w:rFonts w:asciiTheme="majorHAnsi" w:hAnsiTheme="majorHAnsi" w:cstheme="majorHAnsi"/>
                <w:lang w:val="en-GB"/>
              </w:rPr>
            </w:pPr>
            <w:r w:rsidRPr="000600F5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Special Procedures focus either on </w:t>
            </w:r>
            <w:r w:rsidR="005A50C3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specific </w:t>
            </w:r>
            <w:r w:rsidRPr="000600F5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countries or specific </w:t>
            </w:r>
            <w:r w:rsidR="005A50C3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theme</w:t>
            </w:r>
            <w:r w:rsidRPr="000600F5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, depending on their mandate.</w:t>
            </w:r>
          </w:p>
        </w:tc>
      </w:tr>
      <w:tr w:rsidR="00DA5E49" w:rsidRPr="000600F5" w14:paraId="58F5CD7A" w14:textId="77777777" w:rsidTr="003A45D0">
        <w:trPr>
          <w:trHeight w:val="67"/>
        </w:trPr>
        <w:tc>
          <w:tcPr>
            <w:tcW w:w="3539" w:type="dxa"/>
          </w:tcPr>
          <w:p w14:paraId="7BAC41E8" w14:textId="77777777" w:rsidR="00DA5E49" w:rsidRPr="000600F5" w:rsidRDefault="00DA5E49" w:rsidP="003A45D0">
            <w:pPr>
              <w:spacing w:before="60" w:after="60"/>
              <w:rPr>
                <w:rFonts w:asciiTheme="majorHAnsi" w:hAnsiTheme="majorHAnsi" w:cstheme="majorHAnsi"/>
                <w:lang w:val="en-GB"/>
              </w:rPr>
            </w:pPr>
            <w:r w:rsidRPr="000600F5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Which countries are covered?</w:t>
            </w:r>
          </w:p>
        </w:tc>
        <w:tc>
          <w:tcPr>
            <w:tcW w:w="10940" w:type="dxa"/>
          </w:tcPr>
          <w:p w14:paraId="5876C2B7" w14:textId="77777777" w:rsidR="00A71A78" w:rsidRDefault="0037602B" w:rsidP="003A45D0">
            <w:pPr>
              <w:spacing w:before="60" w:after="60"/>
              <w:ind w:left="283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0600F5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All </w:t>
            </w:r>
            <w:r w:rsidR="005A50C3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countries are covered by the thematic</w:t>
            </w:r>
            <w:r w:rsidR="000600F5" w:rsidRPr="000600F5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mandate</w:t>
            </w:r>
            <w:r w:rsidR="005A50C3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holders</w:t>
            </w:r>
            <w:r w:rsidR="000600F5" w:rsidRPr="000600F5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. For the country-specific mandates, only one country</w:t>
            </w:r>
            <w:r w:rsidR="005A50C3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is covered</w:t>
            </w:r>
            <w:r w:rsidR="000600F5" w:rsidRPr="000600F5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.</w:t>
            </w:r>
          </w:p>
          <w:p w14:paraId="6D4A1187" w14:textId="7076027A" w:rsidR="00277E83" w:rsidRPr="00C73264" w:rsidRDefault="00A71A78" w:rsidP="00E21BD5">
            <w:pPr>
              <w:spacing w:before="60" w:after="60"/>
              <w:ind w:left="283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C7326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Currently </w:t>
            </w:r>
            <w:hyperlink r:id="rId12" w:history="1">
              <w:r w:rsidR="00E21BD5" w:rsidRPr="00C73264">
                <w:rPr>
                  <w:rStyle w:val="Hyperlink"/>
                  <w:rFonts w:asciiTheme="majorHAnsi" w:hAnsiTheme="majorHAnsi" w:cstheme="majorHAnsi"/>
                  <w:sz w:val="22"/>
                  <w:szCs w:val="22"/>
                  <w:lang w:val="en-GB"/>
                </w:rPr>
                <w:t>Country-Specific Mandate Holders</w:t>
              </w:r>
            </w:hyperlink>
            <w:r w:rsidR="00E21BD5" w:rsidRPr="00C7326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r w:rsidRPr="00C7326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are appointed for Belarus, Cambodia, Central African Republic, </w:t>
            </w:r>
            <w:r w:rsidR="00277E83" w:rsidRPr="00C7326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Democratic People’s Republic of Korea, Eritrea, Iran, Mali, Myanmar, Occupied Palestinian territories, Somalia, and Syria.</w:t>
            </w:r>
            <w:r w:rsidR="00E669B8" w:rsidRPr="00C7326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</w:p>
          <w:p w14:paraId="1A696935" w14:textId="45B06C17" w:rsidR="00DA5E49" w:rsidRPr="000600F5" w:rsidRDefault="00E21BD5" w:rsidP="00954312">
            <w:pPr>
              <w:spacing w:before="60" w:after="60"/>
              <w:ind w:left="283"/>
              <w:rPr>
                <w:rFonts w:asciiTheme="majorHAnsi" w:hAnsiTheme="majorHAnsi" w:cstheme="majorHAnsi"/>
                <w:lang w:val="en-GB"/>
              </w:rPr>
            </w:pPr>
            <w:r w:rsidRPr="00C7326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Current</w:t>
            </w:r>
            <w:r w:rsidR="00954312" w:rsidRPr="00C7326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ly</w:t>
            </w:r>
            <w:r w:rsidRPr="00C7326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r w:rsidR="00954312" w:rsidRPr="00C7326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44 </w:t>
            </w:r>
            <w:hyperlink r:id="rId13" w:history="1">
              <w:r w:rsidR="00267D9C" w:rsidRPr="00C73264">
                <w:rPr>
                  <w:rStyle w:val="Hyperlink"/>
                  <w:rFonts w:asciiTheme="majorHAnsi" w:hAnsiTheme="majorHAnsi" w:cstheme="majorHAnsi"/>
                  <w:sz w:val="22"/>
                  <w:szCs w:val="22"/>
                  <w:lang w:val="en-GB"/>
                </w:rPr>
                <w:t>Thematic Mandate Holders</w:t>
              </w:r>
            </w:hyperlink>
            <w:r w:rsidR="00954312" w:rsidRPr="00C7326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are in place</w:t>
            </w:r>
            <w:r w:rsidR="00571B55" w:rsidRPr="00C73264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.</w:t>
            </w:r>
            <w:r w:rsidR="00A71A78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 </w:t>
            </w:r>
            <w:r w:rsidR="000600F5" w:rsidRPr="000600F5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</w:p>
        </w:tc>
      </w:tr>
      <w:tr w:rsidR="00DA5E49" w:rsidRPr="000600F5" w14:paraId="469CEE64" w14:textId="77777777" w:rsidTr="003A45D0">
        <w:trPr>
          <w:trHeight w:val="67"/>
        </w:trPr>
        <w:tc>
          <w:tcPr>
            <w:tcW w:w="3539" w:type="dxa"/>
          </w:tcPr>
          <w:p w14:paraId="68D89623" w14:textId="77777777" w:rsidR="00DA5E49" w:rsidRPr="000600F5" w:rsidRDefault="00DA5E49" w:rsidP="003A45D0">
            <w:pPr>
              <w:spacing w:before="60" w:after="60"/>
              <w:rPr>
                <w:rFonts w:asciiTheme="majorHAnsi" w:hAnsiTheme="majorHAnsi" w:cstheme="majorHAnsi"/>
                <w:lang w:val="en-GB"/>
              </w:rPr>
            </w:pPr>
            <w:r w:rsidRPr="000600F5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How frequent is the monitoring?</w:t>
            </w:r>
          </w:p>
        </w:tc>
        <w:tc>
          <w:tcPr>
            <w:tcW w:w="10940" w:type="dxa"/>
          </w:tcPr>
          <w:p w14:paraId="5804AE3B" w14:textId="7579723A" w:rsidR="00DA5E49" w:rsidRPr="000600F5" w:rsidRDefault="000600F5" w:rsidP="003A45D0">
            <w:pPr>
              <w:spacing w:before="60" w:after="60"/>
              <w:ind w:left="283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0600F5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Ongoing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:</w:t>
            </w:r>
            <w:r w:rsidRPr="000600F5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Each Special Procedure 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publishes one</w:t>
            </w:r>
            <w:r w:rsidR="006118C8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or two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annual report</w:t>
            </w:r>
            <w:r w:rsidR="006118C8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s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on their country or </w:t>
            </w:r>
            <w:r w:rsidR="006118C8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theme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, and </w:t>
            </w:r>
            <w:r w:rsidR="00DA0B70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they issue reports following any 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country visits conducted. They can also issue </w:t>
            </w:r>
            <w:r w:rsidR="00DA0B70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press 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communications </w:t>
            </w:r>
            <w:r w:rsidR="00DA0B70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throughout the year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, if there are serious human rights violations occurring in a country.</w:t>
            </w:r>
            <w:r w:rsidR="00DA0B70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Individual communications can also be referred to Special Procedures at any time</w:t>
            </w:r>
          </w:p>
        </w:tc>
      </w:tr>
      <w:tr w:rsidR="00DA5E49" w:rsidRPr="000600F5" w14:paraId="6BF0333A" w14:textId="77777777" w:rsidTr="003A45D0">
        <w:trPr>
          <w:trHeight w:val="67"/>
        </w:trPr>
        <w:tc>
          <w:tcPr>
            <w:tcW w:w="3539" w:type="dxa"/>
          </w:tcPr>
          <w:p w14:paraId="0D724DD2" w14:textId="77777777" w:rsidR="00DA5E49" w:rsidRPr="000600F5" w:rsidRDefault="00DA5E49" w:rsidP="003A45D0">
            <w:pPr>
              <w:spacing w:before="60" w:after="60"/>
              <w:rPr>
                <w:rFonts w:asciiTheme="majorHAnsi" w:hAnsiTheme="majorHAnsi" w:cstheme="majorHAnsi"/>
                <w:lang w:val="en-GB"/>
              </w:rPr>
            </w:pPr>
            <w:r w:rsidRPr="000600F5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What are its tools?</w:t>
            </w:r>
          </w:p>
        </w:tc>
        <w:tc>
          <w:tcPr>
            <w:tcW w:w="10940" w:type="dxa"/>
          </w:tcPr>
          <w:p w14:paraId="1F80D217" w14:textId="77777777" w:rsidR="00714D09" w:rsidRDefault="000600F5" w:rsidP="003A45D0">
            <w:pPr>
              <w:spacing w:before="60" w:after="60"/>
              <w:ind w:left="283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Country visits</w:t>
            </w:r>
            <w:r w:rsidR="00DA0B70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. </w:t>
            </w:r>
          </w:p>
          <w:p w14:paraId="2DEC3CFE" w14:textId="77777777" w:rsidR="00714D09" w:rsidRDefault="00DA0B70" w:rsidP="003A45D0">
            <w:pPr>
              <w:spacing w:before="60" w:after="60"/>
              <w:ind w:left="283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Annual</w:t>
            </w:r>
            <w:r w:rsidR="000600F5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reports to the Human Rights Council and/or the UN General Assembly. </w:t>
            </w:r>
          </w:p>
          <w:p w14:paraId="75201C72" w14:textId="78B635B1" w:rsidR="00DA5E49" w:rsidRPr="00714D09" w:rsidRDefault="00714D09" w:rsidP="00714D09">
            <w:pPr>
              <w:spacing w:before="60" w:after="60"/>
              <w:ind w:left="283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A</w:t>
            </w:r>
            <w:r w:rsidR="000600F5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ct on individual cases</w:t>
            </w:r>
            <w:r w:rsidR="00DA0B70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(known as individual communications)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.</w:t>
            </w:r>
          </w:p>
        </w:tc>
      </w:tr>
      <w:tr w:rsidR="00DA5E49" w:rsidRPr="000600F5" w14:paraId="17691698" w14:textId="77777777" w:rsidTr="003A45D0">
        <w:trPr>
          <w:trHeight w:val="67"/>
        </w:trPr>
        <w:tc>
          <w:tcPr>
            <w:tcW w:w="3539" w:type="dxa"/>
          </w:tcPr>
          <w:p w14:paraId="78EA34F9" w14:textId="77777777" w:rsidR="00DA5E49" w:rsidRPr="000600F5" w:rsidRDefault="00DA5E49" w:rsidP="003A45D0">
            <w:pPr>
              <w:spacing w:before="60" w:after="60"/>
              <w:rPr>
                <w:rFonts w:asciiTheme="majorHAnsi" w:hAnsiTheme="majorHAnsi" w:cstheme="majorHAnsi"/>
                <w:lang w:val="en-GB"/>
              </w:rPr>
            </w:pPr>
            <w:r w:rsidRPr="000600F5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Can they make country visits?</w:t>
            </w:r>
          </w:p>
        </w:tc>
        <w:tc>
          <w:tcPr>
            <w:tcW w:w="10940" w:type="dxa"/>
          </w:tcPr>
          <w:p w14:paraId="4BFF2CDE" w14:textId="790F3451" w:rsidR="00DA5E49" w:rsidRPr="000600F5" w:rsidRDefault="000600F5" w:rsidP="003A45D0">
            <w:pPr>
              <w:spacing w:before="60" w:after="60"/>
              <w:ind w:left="283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Yes. All Special Procedure</w:t>
            </w:r>
            <w:r w:rsidR="009D3FFA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s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can go on country visits, but official visits are only possible if </w:t>
            </w:r>
            <w:r w:rsidR="00901D5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a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State has invited them to do so. </w:t>
            </w:r>
          </w:p>
        </w:tc>
      </w:tr>
      <w:tr w:rsidR="00DA5E49" w:rsidRPr="000600F5" w14:paraId="6D731D7F" w14:textId="77777777" w:rsidTr="003A45D0">
        <w:trPr>
          <w:trHeight w:val="67"/>
        </w:trPr>
        <w:tc>
          <w:tcPr>
            <w:tcW w:w="3539" w:type="dxa"/>
          </w:tcPr>
          <w:p w14:paraId="359485CF" w14:textId="77777777" w:rsidR="00DA5E49" w:rsidRPr="000600F5" w:rsidRDefault="00DA5E49" w:rsidP="003A45D0">
            <w:pPr>
              <w:spacing w:before="60" w:after="60"/>
              <w:rPr>
                <w:rFonts w:asciiTheme="majorHAnsi" w:hAnsiTheme="majorHAnsi" w:cstheme="majorHAnsi"/>
                <w:lang w:val="en-GB"/>
              </w:rPr>
            </w:pPr>
            <w:r w:rsidRPr="000600F5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Who makes the recommendations and to whom?</w:t>
            </w:r>
          </w:p>
        </w:tc>
        <w:tc>
          <w:tcPr>
            <w:tcW w:w="10940" w:type="dxa"/>
          </w:tcPr>
          <w:p w14:paraId="1DDE1FB5" w14:textId="575708D3" w:rsidR="00DA5E49" w:rsidRPr="000600F5" w:rsidRDefault="009D3FFA" w:rsidP="003A45D0">
            <w:pPr>
              <w:spacing w:before="60" w:after="60"/>
              <w:ind w:left="283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The Special Procedures (e</w:t>
            </w:r>
            <w:r w:rsidR="000600F5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xperts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)</w:t>
            </w:r>
            <w:r w:rsidR="000600F5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make recommendations </w:t>
            </w:r>
            <w:r w:rsidR="000600F5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to States, but also to other actors (e.g., businesses</w:t>
            </w:r>
            <w:r w:rsidR="00807B3E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, civil society, UN agencies</w:t>
            </w:r>
            <w:r w:rsidR="000600F5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).</w:t>
            </w:r>
          </w:p>
        </w:tc>
      </w:tr>
      <w:tr w:rsidR="00DA5E49" w:rsidRPr="000600F5" w14:paraId="3959065E" w14:textId="77777777" w:rsidTr="003A45D0">
        <w:trPr>
          <w:trHeight w:val="67"/>
        </w:trPr>
        <w:tc>
          <w:tcPr>
            <w:tcW w:w="3539" w:type="dxa"/>
          </w:tcPr>
          <w:p w14:paraId="743F7A8F" w14:textId="77777777" w:rsidR="00DA5E49" w:rsidRPr="000600F5" w:rsidRDefault="00DA5E49" w:rsidP="003A45D0">
            <w:pPr>
              <w:spacing w:before="60" w:after="60"/>
              <w:rPr>
                <w:rFonts w:asciiTheme="majorHAnsi" w:hAnsiTheme="majorHAnsi" w:cstheme="majorHAnsi"/>
                <w:lang w:val="en-GB"/>
              </w:rPr>
            </w:pPr>
            <w:r w:rsidRPr="000600F5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lastRenderedPageBreak/>
              <w:t>What type of impact do they produce?</w:t>
            </w:r>
          </w:p>
        </w:tc>
        <w:tc>
          <w:tcPr>
            <w:tcW w:w="10940" w:type="dxa"/>
          </w:tcPr>
          <w:p w14:paraId="424DAFAB" w14:textId="6EB14ED2" w:rsidR="00DA5E49" w:rsidRPr="000600F5" w:rsidRDefault="000600F5" w:rsidP="00C73264">
            <w:pPr>
              <w:pStyle w:val="CommentText"/>
              <w:ind w:left="319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Varies from limited to significant impact</w:t>
            </w:r>
            <w:r w:rsidR="0025339F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, depending on the State’s level of compliance/implementation of recommendations received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.</w:t>
            </w:r>
            <w:r w:rsidR="00BD6108">
              <w:rPr>
                <w:rStyle w:val="FootnoteReference"/>
                <w:rFonts w:asciiTheme="majorHAnsi" w:hAnsiTheme="majorHAnsi" w:cstheme="majorHAnsi"/>
                <w:sz w:val="22"/>
                <w:szCs w:val="22"/>
                <w:lang w:val="en-GB"/>
              </w:rPr>
              <w:footnoteReference w:id="2"/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r w:rsidR="009D3FFA">
              <w:rPr>
                <w:rFonts w:asciiTheme="majorHAnsi" w:hAnsiTheme="majorHAnsi" w:cstheme="majorHAnsi"/>
                <w:sz w:val="22"/>
                <w:szCs w:val="22"/>
              </w:rPr>
              <w:t xml:space="preserve">The means of engagement and the response and follow-up activities of clusters and other actors to the outcomes of the </w:t>
            </w:r>
            <w:r w:rsidR="009D3FFA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Special Procedures</w:t>
            </w:r>
            <w:r w:rsidR="009D3FFA">
              <w:rPr>
                <w:rFonts w:asciiTheme="majorHAnsi" w:hAnsiTheme="majorHAnsi" w:cstheme="majorHAnsi"/>
                <w:sz w:val="22"/>
                <w:szCs w:val="22"/>
              </w:rPr>
              <w:t xml:space="preserve"> may vary based on the State’s level of compliance and implementation.   </w:t>
            </w:r>
          </w:p>
        </w:tc>
      </w:tr>
      <w:tr w:rsidR="00DA5E49" w:rsidRPr="000600F5" w14:paraId="1B911A90" w14:textId="77777777" w:rsidTr="003A45D0">
        <w:trPr>
          <w:trHeight w:val="67"/>
        </w:trPr>
        <w:tc>
          <w:tcPr>
            <w:tcW w:w="3539" w:type="dxa"/>
          </w:tcPr>
          <w:p w14:paraId="2756166C" w14:textId="77777777" w:rsidR="00DA5E49" w:rsidRPr="000600F5" w:rsidRDefault="00DA5E49" w:rsidP="003A45D0">
            <w:pPr>
              <w:spacing w:before="60" w:after="60"/>
              <w:rPr>
                <w:rFonts w:asciiTheme="majorHAnsi" w:hAnsiTheme="majorHAnsi" w:cstheme="majorHAnsi"/>
                <w:lang w:val="en-GB"/>
              </w:rPr>
            </w:pPr>
            <w:r w:rsidRPr="000600F5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How quickly does it react?</w:t>
            </w:r>
          </w:p>
        </w:tc>
        <w:tc>
          <w:tcPr>
            <w:tcW w:w="10940" w:type="dxa"/>
          </w:tcPr>
          <w:p w14:paraId="2CA6F1A5" w14:textId="0F100FE7" w:rsidR="00FD7B30" w:rsidRPr="00AA185C" w:rsidRDefault="00070163" w:rsidP="001D5065">
            <w:pPr>
              <w:spacing w:before="60" w:after="60"/>
              <w:ind w:left="283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Fast</w:t>
            </w:r>
            <w:r w:rsidR="001D5065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: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r w:rsidR="001D5065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O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n urgent individual </w:t>
            </w:r>
            <w:r w:rsidRPr="00AA185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communications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, </w:t>
            </w:r>
            <w:r w:rsidRPr="00AA185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Special Procedure</w:t>
            </w:r>
            <w:r w:rsidR="006A692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s</w:t>
            </w:r>
            <w:r w:rsidRPr="00AA185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can react within </w:t>
            </w:r>
            <w:r w:rsidR="0098420E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as few as </w:t>
            </w:r>
            <w:r w:rsidRPr="00AA185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24 hours</w:t>
            </w:r>
            <w:r w:rsidR="001D5065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. However, </w:t>
            </w:r>
            <w:r w:rsidR="0098420E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most cases </w:t>
            </w:r>
            <w:r w:rsidR="001D5065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may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r w:rsidRPr="00AA185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take several weeks</w:t>
            </w:r>
            <w:r w:rsidR="0098420E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for a communication to be issued</w:t>
            </w:r>
            <w:r w:rsidR="001D5065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. 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Timing for country visits, inputs to annual reports, and other activities varies. </w:t>
            </w:r>
            <w:r w:rsidRPr="00AA185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 </w:t>
            </w:r>
            <w:r w:rsidR="00010563" w:rsidRPr="00AA185C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</w:p>
        </w:tc>
      </w:tr>
      <w:tr w:rsidR="00DA5E49" w:rsidRPr="000600F5" w14:paraId="14B91EAE" w14:textId="77777777" w:rsidTr="003A45D0">
        <w:trPr>
          <w:trHeight w:val="67"/>
        </w:trPr>
        <w:tc>
          <w:tcPr>
            <w:tcW w:w="3539" w:type="dxa"/>
          </w:tcPr>
          <w:p w14:paraId="28B4D510" w14:textId="77777777" w:rsidR="00DA5E49" w:rsidRPr="000600F5" w:rsidRDefault="00DA5E49" w:rsidP="003A45D0">
            <w:pPr>
              <w:spacing w:before="60" w:after="60"/>
              <w:rPr>
                <w:rFonts w:asciiTheme="majorHAnsi" w:hAnsiTheme="majorHAnsi" w:cstheme="majorHAnsi"/>
                <w:lang w:val="en-GB"/>
              </w:rPr>
            </w:pPr>
            <w:r w:rsidRPr="000600F5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How accessible is it?</w:t>
            </w:r>
          </w:p>
        </w:tc>
        <w:tc>
          <w:tcPr>
            <w:tcW w:w="10940" w:type="dxa"/>
          </w:tcPr>
          <w:p w14:paraId="3C5E9CFB" w14:textId="52582812" w:rsidR="00DA5E49" w:rsidRPr="00B6027E" w:rsidRDefault="0037602B" w:rsidP="00B6027E">
            <w:pPr>
              <w:spacing w:before="60" w:after="60"/>
              <w:ind w:left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0600F5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Very: any organization can engage by submitting information </w:t>
            </w:r>
            <w:r w:rsidR="00B6027E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and interacting with the Special Procedure mandate holders</w:t>
            </w:r>
            <w:r w:rsidR="00DA5E49" w:rsidRPr="000600F5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.</w:t>
            </w:r>
            <w:r w:rsidR="00B6027E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r w:rsidR="00B6027E" w:rsidRPr="00B602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Thematic inputs can be provided unilaterally, or in response to calls for input issued by the mandate holders.</w:t>
            </w:r>
            <w:r w:rsidR="00B6027E" w:rsidRPr="00B6027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</w:tbl>
    <w:p w14:paraId="577FAE05" w14:textId="77777777" w:rsidR="003A45D0" w:rsidRPr="000600F5" w:rsidRDefault="003A45D0">
      <w:pPr>
        <w:rPr>
          <w:sz w:val="22"/>
          <w:szCs w:val="22"/>
          <w:lang w:val="en-GB"/>
        </w:rPr>
      </w:pPr>
    </w:p>
    <w:tbl>
      <w:tblPr>
        <w:tblStyle w:val="TableGrid"/>
        <w:tblW w:w="1447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0940"/>
      </w:tblGrid>
      <w:tr w:rsidR="00DA5E49" w:rsidRPr="00B6027E" w14:paraId="03AD3705" w14:textId="77777777" w:rsidTr="003A45D0">
        <w:trPr>
          <w:trHeight w:val="67"/>
        </w:trPr>
        <w:tc>
          <w:tcPr>
            <w:tcW w:w="14479" w:type="dxa"/>
            <w:gridSpan w:val="2"/>
            <w:tcBorders>
              <w:bottom w:val="nil"/>
            </w:tcBorders>
            <w:shd w:val="clear" w:color="auto" w:fill="FFC000" w:themeFill="accent4"/>
          </w:tcPr>
          <w:p w14:paraId="2C779C20" w14:textId="41796810" w:rsidR="00DA5E49" w:rsidRPr="00B6027E" w:rsidRDefault="00C42170" w:rsidP="003A45D0">
            <w:pPr>
              <w:spacing w:before="60" w:after="60"/>
              <w:rPr>
                <w:rFonts w:asciiTheme="majorHAnsi" w:hAnsiTheme="majorHAnsi" w:cstheme="majorHAnsi"/>
                <w:b/>
                <w:bCs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lang w:val="en-GB"/>
              </w:rPr>
              <w:t>Advocacy impact</w:t>
            </w:r>
          </w:p>
        </w:tc>
      </w:tr>
      <w:tr w:rsidR="00DA5E49" w:rsidRPr="00B6027E" w14:paraId="6F62A0FC" w14:textId="77777777" w:rsidTr="003A45D0">
        <w:trPr>
          <w:trHeight w:val="67"/>
        </w:trPr>
        <w:tc>
          <w:tcPr>
            <w:tcW w:w="3539" w:type="dxa"/>
            <w:tcBorders>
              <w:top w:val="nil"/>
              <w:bottom w:val="dotted" w:sz="4" w:space="0" w:color="auto"/>
            </w:tcBorders>
          </w:tcPr>
          <w:p w14:paraId="47CF6EF5" w14:textId="77777777" w:rsidR="00DA5E49" w:rsidRPr="00B6027E" w:rsidRDefault="00DA5E49" w:rsidP="003A45D0">
            <w:pPr>
              <w:spacing w:before="60" w:after="60"/>
              <w:rPr>
                <w:rFonts w:asciiTheme="majorHAnsi" w:hAnsiTheme="majorHAnsi" w:cstheme="majorHAnsi"/>
                <w:lang w:val="en-GB"/>
              </w:rPr>
            </w:pPr>
            <w:r w:rsidRPr="00B6027E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Immediate advocacy</w:t>
            </w:r>
          </w:p>
        </w:tc>
        <w:tc>
          <w:tcPr>
            <w:tcW w:w="10940" w:type="dxa"/>
            <w:tcBorders>
              <w:top w:val="nil"/>
              <w:bottom w:val="dotted" w:sz="4" w:space="0" w:color="auto"/>
            </w:tcBorders>
          </w:tcPr>
          <w:p w14:paraId="7BE08531" w14:textId="40FA7B2B" w:rsidR="00DA5E49" w:rsidRPr="00B6027E" w:rsidRDefault="00B6027E" w:rsidP="003A45D0">
            <w:pPr>
              <w:spacing w:before="60" w:after="60"/>
              <w:ind w:left="28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S</w:t>
            </w:r>
            <w:r w:rsidRPr="00B6027E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pecial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P</w:t>
            </w:r>
            <w:r w:rsidRPr="00B6027E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rocedures can issue </w:t>
            </w:r>
            <w:r w:rsidRPr="00B6027E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GB"/>
              </w:rPr>
              <w:t>urgent appeals</w:t>
            </w:r>
            <w:r w:rsidRPr="00B6027E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to Governments in urgent cases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. The</w:t>
            </w:r>
            <w:r w:rsidRPr="00B6027E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exhaustion of domestic remedies is not require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d, and </w:t>
            </w:r>
            <w:r w:rsidRPr="00B6027E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complaints may be brought against any State.</w:t>
            </w:r>
            <w:r w:rsidR="0057549E" w:rsidRPr="00B6027E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r w:rsidRPr="00B6027E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Communications are not legally binding,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and </w:t>
            </w:r>
            <w:r w:rsidRPr="00B6027E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the human right in question must within the mandate of a special procedure which has the ability to act on individual cases.</w:t>
            </w:r>
          </w:p>
        </w:tc>
      </w:tr>
      <w:tr w:rsidR="00DA5E49" w:rsidRPr="00B6027E" w14:paraId="0E13AACC" w14:textId="77777777" w:rsidTr="003A45D0">
        <w:trPr>
          <w:trHeight w:val="67"/>
        </w:trPr>
        <w:tc>
          <w:tcPr>
            <w:tcW w:w="3539" w:type="dxa"/>
            <w:tcBorders>
              <w:top w:val="dotted" w:sz="4" w:space="0" w:color="auto"/>
              <w:bottom w:val="dotted" w:sz="4" w:space="0" w:color="auto"/>
            </w:tcBorders>
          </w:tcPr>
          <w:p w14:paraId="35C6CAE0" w14:textId="77777777" w:rsidR="00DA5E49" w:rsidRPr="00B6027E" w:rsidRDefault="00DA5E49" w:rsidP="003A45D0">
            <w:pPr>
              <w:spacing w:before="60" w:after="60"/>
              <w:rPr>
                <w:rFonts w:asciiTheme="majorHAnsi" w:hAnsiTheme="majorHAnsi" w:cstheme="majorHAnsi"/>
                <w:lang w:val="en-GB"/>
              </w:rPr>
            </w:pPr>
            <w:r w:rsidRPr="00B6027E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Medium-term advocacy</w:t>
            </w:r>
          </w:p>
        </w:tc>
        <w:tc>
          <w:tcPr>
            <w:tcW w:w="10940" w:type="dxa"/>
            <w:tcBorders>
              <w:top w:val="dotted" w:sz="4" w:space="0" w:color="auto"/>
              <w:bottom w:val="dotted" w:sz="4" w:space="0" w:color="auto"/>
            </w:tcBorders>
          </w:tcPr>
          <w:p w14:paraId="2661B96F" w14:textId="3C6D163F" w:rsidR="00DA5E49" w:rsidRPr="00B6027E" w:rsidRDefault="00B6027E" w:rsidP="0037602B">
            <w:pPr>
              <w:spacing w:before="60" w:after="60"/>
              <w:ind w:left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B6027E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A </w:t>
            </w:r>
            <w:r w:rsidRPr="00B6027E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GB"/>
              </w:rPr>
              <w:t>country visit</w:t>
            </w:r>
            <w:r w:rsidRPr="00B6027E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by a Special Procedure 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can be an opportunity to start a confidential dialogue with the mandate holder to raise relevant issues. During country visits, the mandate </w:t>
            </w:r>
            <w:r w:rsidR="009D3FFA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holder </w:t>
            </w:r>
            <w:r w:rsidRPr="00B6027E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can visit relevant locations in country for first-hand accounts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and</w:t>
            </w:r>
            <w:r w:rsidRPr="00B6027E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can meet directly with Government officials at multiple levels as well as UN agencies and civil society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. Depending on the context, it can be advisable to </w:t>
            </w:r>
            <w:r w:rsidRPr="00B6027E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elicit high visibility and attention to visits and recommendations, particularly in national media.</w:t>
            </w:r>
          </w:p>
        </w:tc>
      </w:tr>
      <w:tr w:rsidR="00DA5E49" w:rsidRPr="00B6027E" w14:paraId="643FE02F" w14:textId="77777777" w:rsidTr="003A45D0">
        <w:trPr>
          <w:trHeight w:val="67"/>
        </w:trPr>
        <w:tc>
          <w:tcPr>
            <w:tcW w:w="3539" w:type="dxa"/>
            <w:tcBorders>
              <w:top w:val="dotted" w:sz="4" w:space="0" w:color="auto"/>
              <w:bottom w:val="single" w:sz="4" w:space="0" w:color="auto"/>
            </w:tcBorders>
          </w:tcPr>
          <w:p w14:paraId="238C14ED" w14:textId="77777777" w:rsidR="00DA5E49" w:rsidRPr="00B6027E" w:rsidRDefault="00DA5E49" w:rsidP="003A45D0">
            <w:pPr>
              <w:spacing w:before="60" w:after="60"/>
              <w:rPr>
                <w:rFonts w:asciiTheme="majorHAnsi" w:hAnsiTheme="majorHAnsi" w:cstheme="majorHAnsi"/>
                <w:lang w:val="en-GB"/>
              </w:rPr>
            </w:pPr>
            <w:r w:rsidRPr="00B6027E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Long-term advocacy</w:t>
            </w:r>
          </w:p>
        </w:tc>
        <w:tc>
          <w:tcPr>
            <w:tcW w:w="10940" w:type="dxa"/>
            <w:tcBorders>
              <w:top w:val="dotted" w:sz="4" w:space="0" w:color="auto"/>
              <w:bottom w:val="single" w:sz="4" w:space="0" w:color="auto"/>
            </w:tcBorders>
          </w:tcPr>
          <w:p w14:paraId="500B8025" w14:textId="3FFB46EE" w:rsidR="00DA5E49" w:rsidRPr="00B6027E" w:rsidRDefault="00881E48" w:rsidP="00881E48">
            <w:pPr>
              <w:spacing w:before="60" w:after="60"/>
              <w:ind w:left="283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Humanitarian actors can e</w:t>
            </w:r>
            <w:r w:rsidRPr="00B6027E">
              <w:rPr>
                <w:rFonts w:asciiTheme="majorHAnsi" w:hAnsiTheme="majorHAnsi" w:cstheme="majorHAnsi"/>
                <w:sz w:val="22"/>
                <w:szCs w:val="22"/>
              </w:rPr>
              <w:t>ncourage a State to invite a visit, or a s</w:t>
            </w:r>
            <w:r w:rsidRPr="00B6027E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p</w:t>
            </w:r>
            <w:r w:rsidRPr="00B6027E">
              <w:rPr>
                <w:rFonts w:asciiTheme="majorHAnsi" w:hAnsiTheme="majorHAnsi" w:cstheme="majorHAnsi"/>
                <w:sz w:val="22"/>
                <w:szCs w:val="22"/>
              </w:rPr>
              <w:t xml:space="preserve">ecial procedure to prioritize a particular country for a visit. </w:t>
            </w: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They can also interact with </w:t>
            </w:r>
            <w:r w:rsidR="00B6027E" w:rsidRPr="00B6027E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Special Procedure</w:t>
            </w:r>
            <w:r w:rsidR="009D3FFA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s</w:t>
            </w:r>
            <w:r w:rsidR="00B6027E" w:rsidRPr="00B6027E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with a view to contributing to thematic studies, reports, and other initiatives undertaken by the mandate holders, and which </w:t>
            </w:r>
            <w:r w:rsidR="00B6027E" w:rsidRPr="00B6027E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m</w:t>
            </w:r>
            <w:r w:rsidR="00B6027E" w:rsidRPr="00B6027E">
              <w:rPr>
                <w:rFonts w:asciiTheme="majorHAnsi" w:hAnsiTheme="majorHAnsi" w:cstheme="majorHAnsi"/>
                <w:sz w:val="22"/>
                <w:szCs w:val="22"/>
              </w:rPr>
              <w:t>ay contribute to the development of soft law on a thematic issue</w:t>
            </w:r>
            <w:r w:rsidRPr="00881E4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. </w:t>
            </w:r>
          </w:p>
        </w:tc>
      </w:tr>
    </w:tbl>
    <w:p w14:paraId="5843E755" w14:textId="77777777" w:rsidR="003A45D0" w:rsidRPr="000600F5" w:rsidRDefault="003A45D0">
      <w:pPr>
        <w:rPr>
          <w:sz w:val="22"/>
          <w:szCs w:val="22"/>
          <w:lang w:val="en-GB"/>
        </w:rPr>
      </w:pPr>
    </w:p>
    <w:tbl>
      <w:tblPr>
        <w:tblStyle w:val="TableGrid"/>
        <w:tblW w:w="1447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0"/>
        <w:gridCol w:w="309"/>
      </w:tblGrid>
      <w:tr w:rsidR="00DA5E49" w:rsidRPr="00881E48" w14:paraId="402166EE" w14:textId="77777777" w:rsidTr="007216DD">
        <w:trPr>
          <w:trHeight w:val="67"/>
        </w:trPr>
        <w:tc>
          <w:tcPr>
            <w:tcW w:w="14479" w:type="dxa"/>
            <w:gridSpan w:val="2"/>
            <w:tcBorders>
              <w:bottom w:val="nil"/>
            </w:tcBorders>
            <w:shd w:val="clear" w:color="auto" w:fill="70AD47" w:themeFill="accent6"/>
          </w:tcPr>
          <w:p w14:paraId="6E835A05" w14:textId="259F25A2" w:rsidR="00DA5E49" w:rsidRPr="00881E48" w:rsidRDefault="00DA5E49" w:rsidP="003A45D0">
            <w:pPr>
              <w:spacing w:before="60" w:after="60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81E48">
              <w:rPr>
                <w:rFonts w:asciiTheme="majorHAnsi" w:hAnsiTheme="majorHAnsi" w:cstheme="majorHAnsi"/>
                <w:b/>
                <w:bCs/>
                <w:lang w:val="en-GB"/>
              </w:rPr>
              <w:lastRenderedPageBreak/>
              <w:t>How can the protection cluster engage?</w:t>
            </w:r>
          </w:p>
        </w:tc>
      </w:tr>
      <w:tr w:rsidR="00DA5E49" w:rsidRPr="00881E48" w14:paraId="3CAAFFE0" w14:textId="77777777" w:rsidTr="00E942C1">
        <w:trPr>
          <w:trHeight w:val="67"/>
        </w:trPr>
        <w:tc>
          <w:tcPr>
            <w:tcW w:w="14170" w:type="dxa"/>
            <w:tcBorders>
              <w:top w:val="nil"/>
              <w:bottom w:val="nil"/>
            </w:tcBorders>
          </w:tcPr>
          <w:p w14:paraId="6CE0309F" w14:textId="1EFD3695" w:rsidR="00DA5E49" w:rsidRPr="00881E48" w:rsidRDefault="00DA5E49" w:rsidP="003A45D0">
            <w:pPr>
              <w:spacing w:before="60" w:after="60"/>
              <w:jc w:val="center"/>
              <w:rPr>
                <w:rFonts w:asciiTheme="majorHAnsi" w:hAnsiTheme="majorHAnsi" w:cstheme="majorHAnsi"/>
                <w:i/>
                <w:iCs/>
                <w:lang w:val="en-GB"/>
              </w:rPr>
            </w:pPr>
            <w:r w:rsidRPr="00881E48">
              <w:rPr>
                <w:rFonts w:asciiTheme="majorHAnsi" w:hAnsiTheme="majorHAnsi" w:cstheme="majorHAnsi"/>
                <w:i/>
                <w:iCs/>
                <w:sz w:val="22"/>
                <w:szCs w:val="22"/>
                <w:lang w:val="en-GB"/>
              </w:rPr>
              <w:t>Potential action</w:t>
            </w:r>
            <w:r w:rsidR="00E942C1">
              <w:rPr>
                <w:rFonts w:asciiTheme="majorHAnsi" w:hAnsiTheme="majorHAnsi" w:cstheme="majorHAnsi"/>
                <w:i/>
                <w:iCs/>
                <w:sz w:val="22"/>
                <w:szCs w:val="22"/>
                <w:lang w:val="en-GB"/>
              </w:rPr>
              <w:t>s</w:t>
            </w:r>
            <w:r w:rsidR="00711160">
              <w:rPr>
                <w:rFonts w:asciiTheme="majorHAnsi" w:hAnsiTheme="majorHAnsi" w:cstheme="majorHAnsi"/>
                <w:i/>
                <w:iCs/>
                <w:sz w:val="22"/>
                <w:szCs w:val="22"/>
                <w:lang w:val="en-GB"/>
              </w:rPr>
              <w:t xml:space="preserve"> (direct, indirect, or in collaboration with other entities)</w:t>
            </w:r>
          </w:p>
        </w:tc>
        <w:tc>
          <w:tcPr>
            <w:tcW w:w="309" w:type="dxa"/>
            <w:tcBorders>
              <w:top w:val="nil"/>
              <w:bottom w:val="nil"/>
            </w:tcBorders>
          </w:tcPr>
          <w:p w14:paraId="6FB638B9" w14:textId="1B1BB651" w:rsidR="00DA5E49" w:rsidRPr="00881E48" w:rsidRDefault="00DA5E49" w:rsidP="003A45D0">
            <w:pPr>
              <w:spacing w:before="60" w:after="60"/>
              <w:ind w:left="283"/>
              <w:jc w:val="center"/>
              <w:rPr>
                <w:rFonts w:asciiTheme="majorHAnsi" w:hAnsiTheme="majorHAnsi" w:cstheme="majorBidi"/>
                <w:i/>
                <w:sz w:val="22"/>
                <w:szCs w:val="22"/>
                <w:lang w:val="en-GB"/>
              </w:rPr>
            </w:pPr>
          </w:p>
        </w:tc>
      </w:tr>
      <w:tr w:rsidR="00DA5E49" w:rsidRPr="00881E48" w14:paraId="1D25484C" w14:textId="77777777" w:rsidTr="00E942C1">
        <w:trPr>
          <w:trHeight w:val="67"/>
        </w:trPr>
        <w:tc>
          <w:tcPr>
            <w:tcW w:w="14170" w:type="dxa"/>
            <w:tcBorders>
              <w:top w:val="nil"/>
              <w:bottom w:val="dotted" w:sz="4" w:space="0" w:color="auto"/>
            </w:tcBorders>
          </w:tcPr>
          <w:p w14:paraId="24215D3E" w14:textId="25DCE7D0" w:rsidR="00DA5E49" w:rsidRPr="00881E48" w:rsidRDefault="617FB5F0" w:rsidP="00EA22C6">
            <w:pPr>
              <w:pStyle w:val="ListParagraph"/>
              <w:numPr>
                <w:ilvl w:val="0"/>
                <w:numId w:val="3"/>
              </w:numPr>
              <w:spacing w:before="60" w:after="60"/>
              <w:ind w:left="337" w:hanging="337"/>
              <w:rPr>
                <w:rFonts w:asciiTheme="majorHAnsi" w:hAnsiTheme="majorHAnsi" w:cstheme="majorBidi"/>
                <w:sz w:val="22"/>
                <w:szCs w:val="22"/>
                <w:lang w:val="en-GB"/>
              </w:rPr>
            </w:pPr>
            <w:r w:rsidRPr="2205D81B">
              <w:rPr>
                <w:rFonts w:asciiTheme="majorHAnsi" w:hAnsiTheme="majorHAnsi" w:cstheme="majorBidi"/>
                <w:sz w:val="22"/>
                <w:szCs w:val="22"/>
                <w:lang w:val="en-GB"/>
              </w:rPr>
              <w:t xml:space="preserve">Stay up to date in terms of </w:t>
            </w:r>
            <w:hyperlink r:id="rId14" w:history="1">
              <w:r w:rsidRPr="009D3FFA">
                <w:rPr>
                  <w:rStyle w:val="Hyperlink"/>
                  <w:rFonts w:asciiTheme="majorHAnsi" w:hAnsiTheme="majorHAnsi" w:cstheme="majorBidi"/>
                  <w:sz w:val="22"/>
                  <w:szCs w:val="22"/>
                  <w:lang w:val="en-GB"/>
                </w:rPr>
                <w:t xml:space="preserve">upcoming </w:t>
              </w:r>
              <w:r w:rsidR="00E942C1" w:rsidRPr="009D3FFA">
                <w:rPr>
                  <w:rStyle w:val="Hyperlink"/>
                  <w:rFonts w:asciiTheme="majorHAnsi" w:hAnsiTheme="majorHAnsi" w:cstheme="majorBidi"/>
                  <w:sz w:val="22"/>
                  <w:szCs w:val="22"/>
                  <w:lang w:val="en-GB"/>
                </w:rPr>
                <w:t>country visits</w:t>
              </w:r>
            </w:hyperlink>
            <w:r w:rsidR="00E942C1">
              <w:rPr>
                <w:rFonts w:asciiTheme="majorHAnsi" w:hAnsiTheme="majorHAnsi" w:cstheme="majorBidi"/>
                <w:sz w:val="22"/>
                <w:szCs w:val="22"/>
                <w:lang w:val="en-GB"/>
              </w:rPr>
              <w:t xml:space="preserve"> by Special Procedures </w:t>
            </w:r>
          </w:p>
        </w:tc>
        <w:tc>
          <w:tcPr>
            <w:tcW w:w="309" w:type="dxa"/>
            <w:tcBorders>
              <w:top w:val="nil"/>
              <w:bottom w:val="dotted" w:sz="4" w:space="0" w:color="auto"/>
            </w:tcBorders>
          </w:tcPr>
          <w:p w14:paraId="2F02E559" w14:textId="68374ADF" w:rsidR="00DA5E49" w:rsidRPr="00881E48" w:rsidRDefault="00DA5E49" w:rsidP="00E942C1">
            <w:pPr>
              <w:spacing w:before="60" w:after="60"/>
              <w:ind w:left="9817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DA5E49" w:rsidRPr="00881E48" w14:paraId="1F9C75E1" w14:textId="77777777" w:rsidTr="00E942C1">
        <w:trPr>
          <w:trHeight w:val="67"/>
        </w:trPr>
        <w:tc>
          <w:tcPr>
            <w:tcW w:w="14170" w:type="dxa"/>
            <w:tcBorders>
              <w:top w:val="dotted" w:sz="4" w:space="0" w:color="auto"/>
              <w:bottom w:val="dotted" w:sz="4" w:space="0" w:color="auto"/>
            </w:tcBorders>
          </w:tcPr>
          <w:p w14:paraId="7C1E7E23" w14:textId="26B5D7C1" w:rsidR="00DA5E49" w:rsidRPr="00881E48" w:rsidRDefault="00E942C1" w:rsidP="00EA22C6">
            <w:pPr>
              <w:pStyle w:val="ListParagraph"/>
              <w:numPr>
                <w:ilvl w:val="0"/>
                <w:numId w:val="3"/>
              </w:numPr>
              <w:spacing w:before="60" w:after="60"/>
              <w:ind w:left="337" w:hanging="337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Share information about upcoming </w:t>
            </w:r>
            <w:r>
              <w:rPr>
                <w:rFonts w:asciiTheme="majorHAnsi" w:hAnsiTheme="majorHAnsi" w:cstheme="majorBidi"/>
                <w:sz w:val="22"/>
                <w:szCs w:val="22"/>
                <w:lang w:val="en-GB"/>
              </w:rPr>
              <w:t>country visits by Special Procedures with protection cluster members</w:t>
            </w:r>
          </w:p>
        </w:tc>
        <w:tc>
          <w:tcPr>
            <w:tcW w:w="309" w:type="dxa"/>
            <w:tcBorders>
              <w:top w:val="dotted" w:sz="4" w:space="0" w:color="auto"/>
              <w:bottom w:val="dotted" w:sz="4" w:space="0" w:color="auto"/>
            </w:tcBorders>
          </w:tcPr>
          <w:p w14:paraId="38DA091D" w14:textId="77777777" w:rsidR="00DA5E49" w:rsidRPr="00881E48" w:rsidRDefault="00DA5E49" w:rsidP="003A45D0">
            <w:pPr>
              <w:spacing w:before="60" w:after="60"/>
              <w:ind w:left="283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DA5E49" w:rsidRPr="00881E48" w14:paraId="78054CD9" w14:textId="77777777" w:rsidTr="00E942C1">
        <w:trPr>
          <w:trHeight w:val="67"/>
        </w:trPr>
        <w:tc>
          <w:tcPr>
            <w:tcW w:w="14170" w:type="dxa"/>
            <w:tcBorders>
              <w:top w:val="dotted" w:sz="4" w:space="0" w:color="auto"/>
              <w:bottom w:val="dotted" w:sz="4" w:space="0" w:color="auto"/>
            </w:tcBorders>
          </w:tcPr>
          <w:p w14:paraId="018855A0" w14:textId="775D52E6" w:rsidR="00DA5E49" w:rsidRPr="00881E48" w:rsidRDefault="002A2CE1" w:rsidP="00EA22C6">
            <w:pPr>
              <w:pStyle w:val="ListParagraph"/>
              <w:numPr>
                <w:ilvl w:val="0"/>
                <w:numId w:val="3"/>
              </w:numPr>
              <w:spacing w:before="60" w:after="60"/>
              <w:ind w:left="337" w:hanging="337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Propose a briefing to </w:t>
            </w:r>
            <w:r w:rsidR="009D3FFA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a mandate holder 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ahead</w:t>
            </w:r>
            <w:r w:rsidR="009D3FFA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of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or during </w:t>
            </w:r>
            <w:r w:rsidR="009D3FFA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a planned 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country visit</w:t>
            </w:r>
          </w:p>
        </w:tc>
        <w:tc>
          <w:tcPr>
            <w:tcW w:w="309" w:type="dxa"/>
            <w:tcBorders>
              <w:top w:val="dotted" w:sz="4" w:space="0" w:color="auto"/>
              <w:bottom w:val="dotted" w:sz="4" w:space="0" w:color="auto"/>
            </w:tcBorders>
          </w:tcPr>
          <w:p w14:paraId="309FA839" w14:textId="1CD9A84E" w:rsidR="00DA5E49" w:rsidRPr="00881E48" w:rsidRDefault="00DA5E49" w:rsidP="003A45D0">
            <w:pPr>
              <w:spacing w:before="60" w:after="60"/>
              <w:ind w:left="283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3A45D0" w:rsidRPr="00881E48" w14:paraId="3962E4FF" w14:textId="77777777" w:rsidTr="00E942C1">
        <w:trPr>
          <w:trHeight w:val="67"/>
        </w:trPr>
        <w:tc>
          <w:tcPr>
            <w:tcW w:w="14170" w:type="dxa"/>
            <w:tcBorders>
              <w:top w:val="dotted" w:sz="4" w:space="0" w:color="auto"/>
              <w:bottom w:val="dotted" w:sz="4" w:space="0" w:color="auto"/>
            </w:tcBorders>
          </w:tcPr>
          <w:p w14:paraId="7C55DD9A" w14:textId="52423B63" w:rsidR="003A45D0" w:rsidRPr="00881E48" w:rsidRDefault="002A2CE1" w:rsidP="00EA22C6">
            <w:pPr>
              <w:pStyle w:val="ListParagraph"/>
              <w:numPr>
                <w:ilvl w:val="0"/>
                <w:numId w:val="3"/>
              </w:numPr>
              <w:spacing w:before="60" w:after="60"/>
              <w:ind w:left="337" w:hanging="337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2205D81B">
              <w:rPr>
                <w:rFonts w:asciiTheme="majorHAnsi" w:hAnsiTheme="majorHAnsi" w:cstheme="majorBidi"/>
                <w:sz w:val="22"/>
                <w:szCs w:val="22"/>
                <w:lang w:val="en-GB"/>
              </w:rPr>
              <w:t>Stay up to date in terms of upcoming</w:t>
            </w:r>
            <w:r>
              <w:rPr>
                <w:rFonts w:asciiTheme="majorHAnsi" w:hAnsiTheme="majorHAnsi" w:cstheme="majorBidi"/>
                <w:sz w:val="22"/>
                <w:szCs w:val="22"/>
                <w:lang w:val="en-GB"/>
              </w:rPr>
              <w:t xml:space="preserve"> thematic reports of </w:t>
            </w:r>
            <w:r w:rsidR="009D3FFA">
              <w:rPr>
                <w:rFonts w:asciiTheme="majorHAnsi" w:hAnsiTheme="majorHAnsi" w:cstheme="majorBidi"/>
                <w:sz w:val="22"/>
                <w:szCs w:val="22"/>
                <w:lang w:val="en-GB"/>
              </w:rPr>
              <w:t xml:space="preserve">Special Procedures </w:t>
            </w:r>
          </w:p>
        </w:tc>
        <w:tc>
          <w:tcPr>
            <w:tcW w:w="309" w:type="dxa"/>
            <w:tcBorders>
              <w:top w:val="dotted" w:sz="4" w:space="0" w:color="auto"/>
              <w:bottom w:val="dotted" w:sz="4" w:space="0" w:color="auto"/>
            </w:tcBorders>
          </w:tcPr>
          <w:p w14:paraId="05236193" w14:textId="77777777" w:rsidR="003A45D0" w:rsidRPr="00881E48" w:rsidRDefault="003A45D0" w:rsidP="003A45D0">
            <w:pPr>
              <w:spacing w:before="60" w:after="60"/>
              <w:ind w:left="283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3A45D0" w:rsidRPr="00881E48" w14:paraId="0348CFE3" w14:textId="77777777" w:rsidTr="00E942C1">
        <w:trPr>
          <w:trHeight w:val="67"/>
        </w:trPr>
        <w:tc>
          <w:tcPr>
            <w:tcW w:w="14170" w:type="dxa"/>
            <w:tcBorders>
              <w:top w:val="dotted" w:sz="4" w:space="0" w:color="auto"/>
              <w:bottom w:val="dotted" w:sz="4" w:space="0" w:color="auto"/>
            </w:tcBorders>
          </w:tcPr>
          <w:p w14:paraId="6217E7E5" w14:textId="39223359" w:rsidR="003A45D0" w:rsidRPr="00881E48" w:rsidRDefault="002A2CE1" w:rsidP="00EA22C6">
            <w:pPr>
              <w:pStyle w:val="ListParagraph"/>
              <w:numPr>
                <w:ilvl w:val="0"/>
                <w:numId w:val="3"/>
              </w:numPr>
              <w:spacing w:before="60" w:after="60"/>
              <w:ind w:left="337" w:hanging="337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Share information about upcoming </w:t>
            </w:r>
            <w:r>
              <w:rPr>
                <w:rFonts w:asciiTheme="majorHAnsi" w:hAnsiTheme="majorHAnsi" w:cstheme="majorBidi"/>
                <w:sz w:val="22"/>
                <w:szCs w:val="22"/>
                <w:lang w:val="en-GB"/>
              </w:rPr>
              <w:t>thematic reports of Special Procedures Mandate Holders with protection cluster members</w:t>
            </w:r>
          </w:p>
        </w:tc>
        <w:tc>
          <w:tcPr>
            <w:tcW w:w="309" w:type="dxa"/>
            <w:tcBorders>
              <w:top w:val="dotted" w:sz="4" w:space="0" w:color="auto"/>
              <w:bottom w:val="dotted" w:sz="4" w:space="0" w:color="auto"/>
            </w:tcBorders>
          </w:tcPr>
          <w:p w14:paraId="4A283367" w14:textId="77777777" w:rsidR="003A45D0" w:rsidRPr="00881E48" w:rsidRDefault="003A45D0" w:rsidP="003A45D0">
            <w:pPr>
              <w:spacing w:before="60" w:after="60"/>
              <w:ind w:left="283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3A45D0" w:rsidRPr="00881E48" w14:paraId="0402E816" w14:textId="77777777" w:rsidTr="00E942C1">
        <w:trPr>
          <w:trHeight w:val="67"/>
        </w:trPr>
        <w:tc>
          <w:tcPr>
            <w:tcW w:w="14170" w:type="dxa"/>
            <w:tcBorders>
              <w:top w:val="dotted" w:sz="4" w:space="0" w:color="auto"/>
              <w:bottom w:val="dotted" w:sz="4" w:space="0" w:color="auto"/>
            </w:tcBorders>
          </w:tcPr>
          <w:p w14:paraId="773562E0" w14:textId="4CE1E983" w:rsidR="003A45D0" w:rsidRPr="00881E48" w:rsidRDefault="009D3FFA" w:rsidP="00EA22C6">
            <w:pPr>
              <w:pStyle w:val="ListParagraph"/>
              <w:numPr>
                <w:ilvl w:val="0"/>
                <w:numId w:val="3"/>
              </w:numPr>
              <w:spacing w:before="60" w:after="60"/>
              <w:ind w:left="337" w:hanging="337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C</w:t>
            </w:r>
            <w:r w:rsidR="002A2CE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ontribute to upcoming </w:t>
            </w:r>
            <w:r w:rsidR="002A2CE1">
              <w:rPr>
                <w:rFonts w:asciiTheme="majorHAnsi" w:hAnsiTheme="majorHAnsi" w:cstheme="majorBidi"/>
                <w:sz w:val="22"/>
                <w:szCs w:val="22"/>
                <w:lang w:val="en-GB"/>
              </w:rPr>
              <w:t>thematic reports of Special Procedures Mandate Holders with protection cluster members</w:t>
            </w:r>
          </w:p>
        </w:tc>
        <w:tc>
          <w:tcPr>
            <w:tcW w:w="309" w:type="dxa"/>
            <w:tcBorders>
              <w:top w:val="dotted" w:sz="4" w:space="0" w:color="auto"/>
              <w:bottom w:val="dotted" w:sz="4" w:space="0" w:color="auto"/>
            </w:tcBorders>
          </w:tcPr>
          <w:p w14:paraId="561F2608" w14:textId="77777777" w:rsidR="003A45D0" w:rsidRPr="00881E48" w:rsidRDefault="003A45D0" w:rsidP="003A45D0">
            <w:pPr>
              <w:spacing w:before="60" w:after="60"/>
              <w:ind w:left="283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744800" w:rsidRPr="00881E48" w14:paraId="7CB4C6FE" w14:textId="77777777" w:rsidTr="00E942C1">
        <w:trPr>
          <w:trHeight w:val="67"/>
        </w:trPr>
        <w:tc>
          <w:tcPr>
            <w:tcW w:w="14170" w:type="dxa"/>
            <w:tcBorders>
              <w:top w:val="dotted" w:sz="4" w:space="0" w:color="auto"/>
              <w:bottom w:val="dotted" w:sz="4" w:space="0" w:color="auto"/>
            </w:tcBorders>
          </w:tcPr>
          <w:p w14:paraId="21D28609" w14:textId="59F7EC72" w:rsidR="00744800" w:rsidDel="001778A8" w:rsidRDefault="00744800" w:rsidP="00EA22C6">
            <w:pPr>
              <w:pStyle w:val="ListParagraph"/>
              <w:numPr>
                <w:ilvl w:val="0"/>
                <w:numId w:val="3"/>
              </w:numPr>
              <w:spacing w:before="60" w:after="60"/>
              <w:ind w:left="337" w:hanging="337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Propose issues and provide information for ad hoc press communications issued by SPMH to complement or fill the gap of cluster’s communication products</w:t>
            </w:r>
          </w:p>
        </w:tc>
        <w:tc>
          <w:tcPr>
            <w:tcW w:w="309" w:type="dxa"/>
            <w:tcBorders>
              <w:top w:val="dotted" w:sz="4" w:space="0" w:color="auto"/>
              <w:bottom w:val="dotted" w:sz="4" w:space="0" w:color="auto"/>
            </w:tcBorders>
          </w:tcPr>
          <w:p w14:paraId="246CCB02" w14:textId="77777777" w:rsidR="00744800" w:rsidRPr="00881E48" w:rsidRDefault="00744800" w:rsidP="003A45D0">
            <w:pPr>
              <w:spacing w:before="60" w:after="60"/>
              <w:ind w:left="283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3A45D0" w:rsidRPr="00881E48" w14:paraId="1ED7AB11" w14:textId="77777777" w:rsidTr="00E942C1">
        <w:trPr>
          <w:trHeight w:val="67"/>
        </w:trPr>
        <w:tc>
          <w:tcPr>
            <w:tcW w:w="14170" w:type="dxa"/>
            <w:tcBorders>
              <w:top w:val="dotted" w:sz="4" w:space="0" w:color="auto"/>
              <w:bottom w:val="dotted" w:sz="4" w:space="0" w:color="auto"/>
            </w:tcBorders>
          </w:tcPr>
          <w:p w14:paraId="2F9D7D80" w14:textId="51ED2C4A" w:rsidR="003A45D0" w:rsidRPr="00881E48" w:rsidRDefault="00D67F3A" w:rsidP="00EA22C6">
            <w:pPr>
              <w:pStyle w:val="ListParagraph"/>
              <w:numPr>
                <w:ilvl w:val="0"/>
                <w:numId w:val="3"/>
              </w:numPr>
              <w:spacing w:before="60" w:after="60"/>
              <w:ind w:left="337" w:hanging="337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Prioritize</w:t>
            </w:r>
            <w:r w:rsidR="009D3FFA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a list of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ajorHAnsi" w:hAnsiTheme="majorHAnsi" w:cstheme="majorBidi"/>
                <w:sz w:val="22"/>
                <w:szCs w:val="22"/>
                <w:lang w:val="en-GB"/>
              </w:rPr>
              <w:t>Special Procedures Mandate Holders</w:t>
            </w:r>
            <w:r w:rsidR="009D3FFA">
              <w:rPr>
                <w:rFonts w:asciiTheme="majorHAnsi" w:hAnsiTheme="majorHAnsi" w:cstheme="majorBidi"/>
                <w:sz w:val="22"/>
                <w:szCs w:val="22"/>
                <w:lang w:val="en-GB"/>
              </w:rPr>
              <w:t>,</w:t>
            </w:r>
            <w:r>
              <w:rPr>
                <w:rFonts w:asciiTheme="majorHAnsi" w:hAnsiTheme="majorHAnsi" w:cstheme="majorBidi"/>
                <w:sz w:val="22"/>
                <w:szCs w:val="22"/>
                <w:lang w:val="en-GB"/>
              </w:rPr>
              <w:t xml:space="preserve"> </w:t>
            </w:r>
            <w:r w:rsidR="00D82B11">
              <w:rPr>
                <w:rFonts w:asciiTheme="majorHAnsi" w:hAnsiTheme="majorHAnsi" w:cstheme="majorBidi"/>
                <w:sz w:val="22"/>
                <w:szCs w:val="22"/>
                <w:lang w:val="en-GB"/>
              </w:rPr>
              <w:t>based on the context</w:t>
            </w:r>
            <w:r w:rsidR="009D3FFA">
              <w:rPr>
                <w:rFonts w:asciiTheme="majorHAnsi" w:hAnsiTheme="majorHAnsi" w:cstheme="majorBidi"/>
                <w:sz w:val="22"/>
                <w:szCs w:val="22"/>
                <w:lang w:val="en-GB"/>
              </w:rPr>
              <w:t>, with which the cluster will systematically engage</w:t>
            </w:r>
          </w:p>
        </w:tc>
        <w:tc>
          <w:tcPr>
            <w:tcW w:w="309" w:type="dxa"/>
            <w:tcBorders>
              <w:top w:val="dotted" w:sz="4" w:space="0" w:color="auto"/>
              <w:bottom w:val="dotted" w:sz="4" w:space="0" w:color="auto"/>
            </w:tcBorders>
          </w:tcPr>
          <w:p w14:paraId="47E45D2F" w14:textId="77777777" w:rsidR="003A45D0" w:rsidRPr="00881E48" w:rsidRDefault="003A45D0" w:rsidP="003A45D0">
            <w:pPr>
              <w:spacing w:before="60" w:after="60"/>
              <w:ind w:left="283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3A45D0" w:rsidRPr="00881E48" w14:paraId="2E9DE032" w14:textId="77777777" w:rsidTr="00E942C1">
        <w:trPr>
          <w:trHeight w:val="67"/>
        </w:trPr>
        <w:tc>
          <w:tcPr>
            <w:tcW w:w="14170" w:type="dxa"/>
            <w:tcBorders>
              <w:top w:val="dotted" w:sz="4" w:space="0" w:color="auto"/>
              <w:bottom w:val="dotted" w:sz="4" w:space="0" w:color="auto"/>
            </w:tcBorders>
          </w:tcPr>
          <w:p w14:paraId="42CC8977" w14:textId="12C8FF3B" w:rsidR="003A45D0" w:rsidRPr="00881E48" w:rsidRDefault="00D82B11" w:rsidP="00EA22C6">
            <w:pPr>
              <w:pStyle w:val="ListParagraph"/>
              <w:numPr>
                <w:ilvl w:val="0"/>
                <w:numId w:val="3"/>
              </w:numPr>
              <w:spacing w:before="60" w:after="60"/>
              <w:ind w:left="337" w:hanging="337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Proactively share relevant information on confidential basis with </w:t>
            </w:r>
            <w:r w:rsidR="009D3FFA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the 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prioritized </w:t>
            </w:r>
            <w:r w:rsidR="009D3FFA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list of </w:t>
            </w:r>
            <w:r>
              <w:rPr>
                <w:rFonts w:asciiTheme="majorHAnsi" w:hAnsiTheme="majorHAnsi" w:cstheme="majorBidi"/>
                <w:sz w:val="22"/>
                <w:szCs w:val="22"/>
                <w:lang w:val="en-GB"/>
              </w:rPr>
              <w:t>Special Procedures</w:t>
            </w:r>
            <w:r w:rsidR="009D3FFA">
              <w:rPr>
                <w:rFonts w:asciiTheme="majorHAnsi" w:hAnsiTheme="majorHAnsi" w:cstheme="majorBidi"/>
                <w:sz w:val="22"/>
                <w:szCs w:val="22"/>
                <w:lang w:val="en-GB"/>
              </w:rPr>
              <w:t>,</w:t>
            </w:r>
            <w:r>
              <w:rPr>
                <w:rFonts w:asciiTheme="majorHAnsi" w:hAnsiTheme="majorHAnsi" w:cstheme="majorBidi"/>
                <w:sz w:val="22"/>
                <w:szCs w:val="22"/>
                <w:lang w:val="en-GB"/>
              </w:rPr>
              <w:t xml:space="preserve"> based on the context</w:t>
            </w:r>
            <w:r w:rsidR="00C73264">
              <w:rPr>
                <w:rFonts w:asciiTheme="majorHAnsi" w:hAnsiTheme="majorHAnsi" w:cstheme="majorBidi"/>
                <w:sz w:val="22"/>
                <w:szCs w:val="22"/>
                <w:lang w:val="en-GB"/>
              </w:rPr>
              <w:t>. T</w:t>
            </w:r>
            <w:r w:rsidR="00C73264" w:rsidRPr="00C73264">
              <w:rPr>
                <w:rFonts w:asciiTheme="majorHAnsi" w:hAnsiTheme="majorHAnsi" w:cstheme="majorBidi"/>
                <w:sz w:val="22"/>
                <w:szCs w:val="22"/>
                <w:lang w:val="en-GB"/>
              </w:rPr>
              <w:t>his would include sharing key operational updates to those mandates which have been specified as a priority for the Cluster</w:t>
            </w:r>
          </w:p>
        </w:tc>
        <w:tc>
          <w:tcPr>
            <w:tcW w:w="309" w:type="dxa"/>
            <w:tcBorders>
              <w:top w:val="dotted" w:sz="4" w:space="0" w:color="auto"/>
              <w:bottom w:val="dotted" w:sz="4" w:space="0" w:color="auto"/>
            </w:tcBorders>
          </w:tcPr>
          <w:p w14:paraId="3BC278B7" w14:textId="77777777" w:rsidR="003A45D0" w:rsidRPr="00881E48" w:rsidRDefault="003A45D0" w:rsidP="003A45D0">
            <w:pPr>
              <w:spacing w:before="60" w:after="60"/>
              <w:ind w:left="283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3A45D0" w:rsidRPr="00881E48" w14:paraId="510C5B83" w14:textId="77777777" w:rsidTr="00D82B11">
        <w:trPr>
          <w:trHeight w:val="67"/>
        </w:trPr>
        <w:tc>
          <w:tcPr>
            <w:tcW w:w="14170" w:type="dxa"/>
            <w:tcBorders>
              <w:top w:val="dotted" w:sz="4" w:space="0" w:color="auto"/>
              <w:bottom w:val="dotted" w:sz="4" w:space="0" w:color="auto"/>
            </w:tcBorders>
          </w:tcPr>
          <w:p w14:paraId="7CFC786B" w14:textId="2426C54C" w:rsidR="003A45D0" w:rsidRPr="00881E48" w:rsidRDefault="009D3FFA" w:rsidP="00EA22C6">
            <w:pPr>
              <w:pStyle w:val="ListParagraph"/>
              <w:numPr>
                <w:ilvl w:val="0"/>
                <w:numId w:val="3"/>
              </w:numPr>
              <w:spacing w:before="60" w:after="60"/>
              <w:ind w:left="337" w:hanging="337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R</w:t>
            </w:r>
            <w:r w:rsidR="00471B5B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efer </w:t>
            </w:r>
            <w:r w:rsidR="00E2156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sensitive </w:t>
            </w:r>
            <w:r w:rsidR="00471B5B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individual case</w:t>
            </w:r>
            <w:r w:rsidR="00E2156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s</w:t>
            </w:r>
            <w:r w:rsidR="00471B5B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to 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Special Procedures, where appropriate,</w:t>
            </w:r>
            <w:r w:rsidR="00471B5B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for intervention</w:t>
            </w:r>
          </w:p>
        </w:tc>
        <w:tc>
          <w:tcPr>
            <w:tcW w:w="309" w:type="dxa"/>
            <w:tcBorders>
              <w:top w:val="dotted" w:sz="4" w:space="0" w:color="auto"/>
              <w:bottom w:val="dotted" w:sz="4" w:space="0" w:color="auto"/>
            </w:tcBorders>
          </w:tcPr>
          <w:p w14:paraId="7CA4959B" w14:textId="77777777" w:rsidR="003A45D0" w:rsidRPr="00881E48" w:rsidRDefault="003A45D0" w:rsidP="003A45D0">
            <w:pPr>
              <w:spacing w:before="60" w:after="60"/>
              <w:ind w:left="283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D82B11" w:rsidRPr="00881E48" w14:paraId="4FB433FE" w14:textId="77777777" w:rsidTr="00D82B11">
        <w:trPr>
          <w:trHeight w:val="67"/>
        </w:trPr>
        <w:tc>
          <w:tcPr>
            <w:tcW w:w="14170" w:type="dxa"/>
            <w:tcBorders>
              <w:top w:val="dotted" w:sz="4" w:space="0" w:color="auto"/>
              <w:bottom w:val="dotted" w:sz="4" w:space="0" w:color="auto"/>
            </w:tcBorders>
          </w:tcPr>
          <w:p w14:paraId="58184BC4" w14:textId="02F5EDF7" w:rsidR="00D82B11" w:rsidRPr="00881E48" w:rsidRDefault="009D3FFA" w:rsidP="00EA22C6">
            <w:pPr>
              <w:pStyle w:val="ListParagraph"/>
              <w:numPr>
                <w:ilvl w:val="0"/>
                <w:numId w:val="3"/>
              </w:numPr>
              <w:spacing w:before="60" w:after="60"/>
              <w:ind w:left="337" w:hanging="337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I</w:t>
            </w:r>
            <w:r w:rsidR="00853F29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nvite </w:t>
            </w:r>
            <w:r w:rsidR="002F3A5A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a </w:t>
            </w:r>
            <w:r>
              <w:rPr>
                <w:rFonts w:asciiTheme="majorHAnsi" w:hAnsiTheme="majorHAnsi" w:cstheme="majorBidi"/>
                <w:sz w:val="22"/>
                <w:szCs w:val="22"/>
                <w:lang w:val="en-GB"/>
              </w:rPr>
              <w:t>m</w:t>
            </w:r>
            <w:r w:rsidR="002F3A5A">
              <w:rPr>
                <w:rFonts w:asciiTheme="majorHAnsi" w:hAnsiTheme="majorHAnsi" w:cstheme="majorBidi"/>
                <w:sz w:val="22"/>
                <w:szCs w:val="22"/>
                <w:lang w:val="en-GB"/>
              </w:rPr>
              <w:t xml:space="preserve">andate </w:t>
            </w:r>
            <w:r>
              <w:rPr>
                <w:rFonts w:asciiTheme="majorHAnsi" w:hAnsiTheme="majorHAnsi" w:cstheme="majorBidi"/>
                <w:sz w:val="22"/>
                <w:szCs w:val="22"/>
                <w:lang w:val="en-GB"/>
              </w:rPr>
              <w:t>h</w:t>
            </w:r>
            <w:r w:rsidR="002F3A5A">
              <w:rPr>
                <w:rFonts w:asciiTheme="majorHAnsi" w:hAnsiTheme="majorHAnsi" w:cstheme="majorBidi"/>
                <w:sz w:val="22"/>
                <w:szCs w:val="22"/>
                <w:lang w:val="en-GB"/>
              </w:rPr>
              <w:t xml:space="preserve">older </w:t>
            </w:r>
            <w:r>
              <w:rPr>
                <w:rFonts w:asciiTheme="majorHAnsi" w:hAnsiTheme="majorHAnsi" w:cstheme="majorBidi"/>
                <w:sz w:val="22"/>
                <w:szCs w:val="22"/>
                <w:lang w:val="en-GB"/>
              </w:rPr>
              <w:t>to participate in relevant</w:t>
            </w:r>
            <w:r w:rsidR="002F3A5A">
              <w:rPr>
                <w:rFonts w:asciiTheme="majorHAnsi" w:hAnsiTheme="majorHAnsi" w:cstheme="majorBidi"/>
                <w:sz w:val="22"/>
                <w:szCs w:val="22"/>
                <w:lang w:val="en-GB"/>
              </w:rPr>
              <w:t xml:space="preserve"> high level events</w:t>
            </w:r>
            <w:r>
              <w:rPr>
                <w:rFonts w:asciiTheme="majorHAnsi" w:hAnsiTheme="majorHAnsi" w:cstheme="majorBidi"/>
                <w:sz w:val="22"/>
                <w:szCs w:val="22"/>
                <w:lang w:val="en-GB"/>
              </w:rPr>
              <w:t xml:space="preserve"> </w:t>
            </w:r>
            <w:r w:rsidR="00342D6E">
              <w:rPr>
                <w:rFonts w:asciiTheme="majorHAnsi" w:hAnsiTheme="majorHAnsi" w:cstheme="majorBidi"/>
                <w:sz w:val="22"/>
                <w:szCs w:val="22"/>
                <w:lang w:val="en-GB"/>
              </w:rPr>
              <w:t xml:space="preserve">organized by </w:t>
            </w:r>
            <w:r>
              <w:rPr>
                <w:rFonts w:asciiTheme="majorHAnsi" w:hAnsiTheme="majorHAnsi" w:cstheme="majorBidi"/>
                <w:sz w:val="22"/>
                <w:szCs w:val="22"/>
                <w:lang w:val="en-GB"/>
              </w:rPr>
              <w:t>the cluster</w:t>
            </w:r>
          </w:p>
        </w:tc>
        <w:tc>
          <w:tcPr>
            <w:tcW w:w="309" w:type="dxa"/>
            <w:tcBorders>
              <w:top w:val="dotted" w:sz="4" w:space="0" w:color="auto"/>
              <w:bottom w:val="dotted" w:sz="4" w:space="0" w:color="auto"/>
            </w:tcBorders>
          </w:tcPr>
          <w:p w14:paraId="371F8814" w14:textId="77777777" w:rsidR="00D82B11" w:rsidRPr="00881E48" w:rsidRDefault="00D82B11" w:rsidP="003A45D0">
            <w:pPr>
              <w:spacing w:before="60" w:after="60"/>
              <w:ind w:left="283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316178" w:rsidRPr="00881E48" w14:paraId="73EC48BF" w14:textId="77777777" w:rsidTr="00D82B11">
        <w:trPr>
          <w:trHeight w:val="67"/>
        </w:trPr>
        <w:tc>
          <w:tcPr>
            <w:tcW w:w="14170" w:type="dxa"/>
            <w:tcBorders>
              <w:top w:val="dotted" w:sz="4" w:space="0" w:color="auto"/>
              <w:bottom w:val="dotted" w:sz="4" w:space="0" w:color="auto"/>
            </w:tcBorders>
          </w:tcPr>
          <w:p w14:paraId="550DEEDD" w14:textId="1DCD7DFC" w:rsidR="00316178" w:rsidRDefault="00450D13" w:rsidP="00EA22C6">
            <w:pPr>
              <w:pStyle w:val="ListParagraph"/>
              <w:numPr>
                <w:ilvl w:val="0"/>
                <w:numId w:val="3"/>
              </w:numPr>
              <w:spacing w:before="60" w:after="60"/>
              <w:ind w:left="337" w:hanging="337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FB3DC4">
              <w:rPr>
                <w:rFonts w:asciiTheme="majorHAnsi" w:hAnsiTheme="majorHAnsi" w:cstheme="majorHAnsi"/>
                <w:sz w:val="22"/>
                <w:szCs w:val="22"/>
              </w:rPr>
              <w:t xml:space="preserve">Utilize references to recommendations, reports or other outcomes of the </w:t>
            </w: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SP</w:t>
            </w:r>
            <w:r w:rsidR="00C53B9E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MHs</w:t>
            </w:r>
            <w:r w:rsidRPr="00FB3DC4">
              <w:rPr>
                <w:rFonts w:asciiTheme="majorHAnsi" w:hAnsiTheme="majorHAnsi" w:cstheme="majorHAnsi"/>
                <w:sz w:val="22"/>
                <w:szCs w:val="22"/>
              </w:rPr>
              <w:t xml:space="preserve"> in the protection cluster’s advocacy strategy and/or activities</w:t>
            </w:r>
          </w:p>
        </w:tc>
        <w:tc>
          <w:tcPr>
            <w:tcW w:w="309" w:type="dxa"/>
            <w:tcBorders>
              <w:top w:val="dotted" w:sz="4" w:space="0" w:color="auto"/>
              <w:bottom w:val="dotted" w:sz="4" w:space="0" w:color="auto"/>
            </w:tcBorders>
          </w:tcPr>
          <w:p w14:paraId="129186C7" w14:textId="77777777" w:rsidR="00316178" w:rsidRPr="00881E48" w:rsidRDefault="00316178" w:rsidP="003A45D0">
            <w:pPr>
              <w:spacing w:before="60" w:after="60"/>
              <w:ind w:left="283"/>
              <w:rPr>
                <w:rFonts w:asciiTheme="majorHAnsi" w:hAnsiTheme="majorHAnsi" w:cstheme="majorHAnsi"/>
                <w:lang w:val="en-GB"/>
              </w:rPr>
            </w:pPr>
          </w:p>
        </w:tc>
      </w:tr>
    </w:tbl>
    <w:p w14:paraId="0B897877" w14:textId="77777777" w:rsidR="00DA5E49" w:rsidRDefault="00DA5E49">
      <w:pPr>
        <w:rPr>
          <w:sz w:val="22"/>
          <w:szCs w:val="22"/>
          <w:lang w:val="en-GB"/>
        </w:rPr>
      </w:pPr>
    </w:p>
    <w:tbl>
      <w:tblPr>
        <w:tblStyle w:val="TableGrid"/>
        <w:tblW w:w="1447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3870"/>
        <w:gridCol w:w="4320"/>
        <w:gridCol w:w="3330"/>
        <w:gridCol w:w="2064"/>
      </w:tblGrid>
      <w:tr w:rsidR="00937B2D" w:rsidRPr="00881E48" w14:paraId="7F5F7073" w14:textId="77777777" w:rsidTr="001A018F">
        <w:trPr>
          <w:trHeight w:val="67"/>
        </w:trPr>
        <w:tc>
          <w:tcPr>
            <w:tcW w:w="14479" w:type="dxa"/>
            <w:gridSpan w:val="5"/>
            <w:tcBorders>
              <w:bottom w:val="nil"/>
            </w:tcBorders>
            <w:shd w:val="clear" w:color="auto" w:fill="FCBCF4"/>
          </w:tcPr>
          <w:p w14:paraId="2837CA7A" w14:textId="762301C4" w:rsidR="00937B2D" w:rsidRPr="00881E48" w:rsidRDefault="00937B2D" w:rsidP="002630EF">
            <w:pPr>
              <w:spacing w:before="60" w:after="60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881E48">
              <w:rPr>
                <w:rFonts w:asciiTheme="majorHAnsi" w:hAnsiTheme="majorHAnsi" w:cstheme="majorHAnsi"/>
                <w:b/>
                <w:bCs/>
                <w:lang w:val="en-GB"/>
              </w:rPr>
              <w:t xml:space="preserve">How </w:t>
            </w:r>
            <w:r w:rsidR="002630EF">
              <w:rPr>
                <w:rFonts w:asciiTheme="majorHAnsi" w:hAnsiTheme="majorHAnsi" w:cstheme="majorHAnsi"/>
                <w:b/>
                <w:bCs/>
                <w:lang w:val="en-GB"/>
              </w:rPr>
              <w:t>did</w:t>
            </w:r>
            <w:r w:rsidRPr="00881E48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the protection cluster engage?</w:t>
            </w:r>
          </w:p>
        </w:tc>
      </w:tr>
      <w:tr w:rsidR="006569B9" w14:paraId="3235CAC5" w14:textId="77777777" w:rsidTr="006F019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895" w:type="dxa"/>
            <w:shd w:val="clear" w:color="auto" w:fill="D6F7FE"/>
          </w:tcPr>
          <w:p w14:paraId="18FFEF33" w14:textId="7DBCEAEF" w:rsidR="006569B9" w:rsidRPr="00B46DEA" w:rsidRDefault="002630EF" w:rsidP="001A018F">
            <w:pPr>
              <w:pStyle w:val="ListParagraph"/>
              <w:ind w:left="-23" w:hanging="34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B46DEA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Ac</w:t>
            </w:r>
            <w:r w:rsidR="001A018F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tion</w:t>
            </w:r>
            <w:r w:rsidR="000F46D9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s</w:t>
            </w:r>
            <w:r w:rsidR="001A018F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r w:rsidRPr="00B46DEA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taken</w:t>
            </w:r>
            <w:r w:rsidR="0091021F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from the list above</w:t>
            </w:r>
          </w:p>
        </w:tc>
        <w:tc>
          <w:tcPr>
            <w:tcW w:w="3870" w:type="dxa"/>
            <w:shd w:val="clear" w:color="auto" w:fill="D6F7FE"/>
          </w:tcPr>
          <w:p w14:paraId="2D884574" w14:textId="2EFA9A34" w:rsidR="006569B9" w:rsidRPr="00B46DEA" w:rsidRDefault="00A05C80" w:rsidP="00A05C80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What did the cluster do under this action</w:t>
            </w:r>
          </w:p>
        </w:tc>
        <w:tc>
          <w:tcPr>
            <w:tcW w:w="4320" w:type="dxa"/>
            <w:shd w:val="clear" w:color="auto" w:fill="D6F7FE"/>
          </w:tcPr>
          <w:p w14:paraId="5FDD4962" w14:textId="43540BE7" w:rsidR="006569B9" w:rsidRPr="00B46DEA" w:rsidRDefault="008E6464" w:rsidP="00AF5E19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B46DEA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What </w:t>
            </w:r>
            <w:r w:rsidR="00AF5E19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challenges did the cluster face in taking this action</w:t>
            </w:r>
          </w:p>
        </w:tc>
        <w:tc>
          <w:tcPr>
            <w:tcW w:w="3330" w:type="dxa"/>
            <w:shd w:val="clear" w:color="auto" w:fill="D6F7FE"/>
          </w:tcPr>
          <w:p w14:paraId="47551110" w14:textId="181A9C93" w:rsidR="006569B9" w:rsidRPr="00B46DEA" w:rsidRDefault="00AF5E19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Result of the action</w:t>
            </w:r>
          </w:p>
        </w:tc>
        <w:tc>
          <w:tcPr>
            <w:tcW w:w="2064" w:type="dxa"/>
            <w:shd w:val="clear" w:color="auto" w:fill="D6F7FE"/>
          </w:tcPr>
          <w:p w14:paraId="257C7233" w14:textId="3149BAD5" w:rsidR="006569B9" w:rsidRPr="00B46DEA" w:rsidRDefault="008E6464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B46DEA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Further support needed from HRE TT</w:t>
            </w:r>
          </w:p>
        </w:tc>
      </w:tr>
      <w:tr w:rsidR="00891BD9" w14:paraId="147DC9AF" w14:textId="77777777" w:rsidTr="006F019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895" w:type="dxa"/>
          </w:tcPr>
          <w:p w14:paraId="3B1EFB84" w14:textId="15329967" w:rsidR="00891BD9" w:rsidRPr="00B46DEA" w:rsidRDefault="00554036" w:rsidP="00554036">
            <w:pPr>
              <w:pStyle w:val="ListParagraph"/>
              <w:numPr>
                <w:ilvl w:val="0"/>
                <w:numId w:val="4"/>
              </w:numPr>
              <w:ind w:left="393" w:hanging="393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lastRenderedPageBreak/>
              <w:sym w:font="Webdings" w:char="F063"/>
            </w:r>
          </w:p>
        </w:tc>
        <w:tc>
          <w:tcPr>
            <w:tcW w:w="3870" w:type="dxa"/>
          </w:tcPr>
          <w:p w14:paraId="2EA3BAEA" w14:textId="77777777" w:rsidR="00891BD9" w:rsidRPr="00B46DEA" w:rsidRDefault="00891BD9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4320" w:type="dxa"/>
          </w:tcPr>
          <w:p w14:paraId="5A46732E" w14:textId="77777777" w:rsidR="00891BD9" w:rsidRPr="00B46DEA" w:rsidRDefault="00891BD9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330" w:type="dxa"/>
          </w:tcPr>
          <w:p w14:paraId="5BBD932F" w14:textId="77777777" w:rsidR="00891BD9" w:rsidRPr="00B46DEA" w:rsidRDefault="00891BD9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064" w:type="dxa"/>
          </w:tcPr>
          <w:p w14:paraId="12C46C5C" w14:textId="77777777" w:rsidR="00891BD9" w:rsidRPr="00B46DEA" w:rsidRDefault="00891BD9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891BD9" w14:paraId="5BFB194E" w14:textId="77777777" w:rsidTr="006F019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895" w:type="dxa"/>
          </w:tcPr>
          <w:p w14:paraId="38AF0442" w14:textId="5133B1F9" w:rsidR="00891BD9" w:rsidRPr="00B46DEA" w:rsidRDefault="00554036" w:rsidP="00554036">
            <w:pPr>
              <w:pStyle w:val="ListParagraph"/>
              <w:numPr>
                <w:ilvl w:val="0"/>
                <w:numId w:val="4"/>
              </w:numPr>
              <w:ind w:left="393" w:hanging="393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sym w:font="Webdings" w:char="F063"/>
            </w:r>
          </w:p>
        </w:tc>
        <w:tc>
          <w:tcPr>
            <w:tcW w:w="3870" w:type="dxa"/>
          </w:tcPr>
          <w:p w14:paraId="2D432EF8" w14:textId="77777777" w:rsidR="00891BD9" w:rsidRPr="00B46DEA" w:rsidRDefault="00891BD9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4320" w:type="dxa"/>
          </w:tcPr>
          <w:p w14:paraId="056DB584" w14:textId="77777777" w:rsidR="00891BD9" w:rsidRPr="00B46DEA" w:rsidRDefault="00891BD9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330" w:type="dxa"/>
          </w:tcPr>
          <w:p w14:paraId="5CD93F20" w14:textId="77777777" w:rsidR="00891BD9" w:rsidRPr="00B46DEA" w:rsidRDefault="00891BD9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064" w:type="dxa"/>
          </w:tcPr>
          <w:p w14:paraId="155794FB" w14:textId="77777777" w:rsidR="00891BD9" w:rsidRPr="00B46DEA" w:rsidRDefault="00891BD9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554036" w14:paraId="5EF4E653" w14:textId="77777777" w:rsidTr="006F019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895" w:type="dxa"/>
          </w:tcPr>
          <w:p w14:paraId="4B06A10C" w14:textId="6E2ED212" w:rsidR="00554036" w:rsidRPr="00B46DEA" w:rsidRDefault="00554036" w:rsidP="00554036">
            <w:pPr>
              <w:pStyle w:val="ListParagraph"/>
              <w:numPr>
                <w:ilvl w:val="0"/>
                <w:numId w:val="4"/>
              </w:numPr>
              <w:ind w:left="393" w:hanging="393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6218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sym w:font="Webdings" w:char="F063"/>
            </w:r>
          </w:p>
        </w:tc>
        <w:tc>
          <w:tcPr>
            <w:tcW w:w="3870" w:type="dxa"/>
          </w:tcPr>
          <w:p w14:paraId="585D2FC9" w14:textId="77777777" w:rsidR="00554036" w:rsidRPr="00B46DEA" w:rsidRDefault="00554036" w:rsidP="0055403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4320" w:type="dxa"/>
          </w:tcPr>
          <w:p w14:paraId="09FF177A" w14:textId="77777777" w:rsidR="00554036" w:rsidRPr="00B46DEA" w:rsidRDefault="00554036" w:rsidP="0055403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330" w:type="dxa"/>
          </w:tcPr>
          <w:p w14:paraId="1A34548D" w14:textId="77777777" w:rsidR="00554036" w:rsidRPr="00B46DEA" w:rsidRDefault="00554036" w:rsidP="0055403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064" w:type="dxa"/>
          </w:tcPr>
          <w:p w14:paraId="649C65A9" w14:textId="77777777" w:rsidR="00554036" w:rsidRPr="00B46DEA" w:rsidRDefault="00554036" w:rsidP="0055403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554036" w14:paraId="1B86DD11" w14:textId="77777777" w:rsidTr="006F019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895" w:type="dxa"/>
          </w:tcPr>
          <w:p w14:paraId="7434E780" w14:textId="153DDFF9" w:rsidR="00554036" w:rsidRPr="00B46DEA" w:rsidRDefault="00554036" w:rsidP="00554036">
            <w:pPr>
              <w:pStyle w:val="ListParagraph"/>
              <w:numPr>
                <w:ilvl w:val="0"/>
                <w:numId w:val="4"/>
              </w:numPr>
              <w:ind w:left="393" w:hanging="393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6218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sym w:font="Webdings" w:char="F063"/>
            </w:r>
          </w:p>
        </w:tc>
        <w:tc>
          <w:tcPr>
            <w:tcW w:w="3870" w:type="dxa"/>
          </w:tcPr>
          <w:p w14:paraId="2CA2022D" w14:textId="77777777" w:rsidR="00554036" w:rsidRPr="00B46DEA" w:rsidRDefault="00554036" w:rsidP="0055403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4320" w:type="dxa"/>
          </w:tcPr>
          <w:p w14:paraId="5E3A48BF" w14:textId="77777777" w:rsidR="00554036" w:rsidRPr="00B46DEA" w:rsidRDefault="00554036" w:rsidP="0055403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330" w:type="dxa"/>
          </w:tcPr>
          <w:p w14:paraId="7D059D67" w14:textId="77777777" w:rsidR="00554036" w:rsidRPr="00B46DEA" w:rsidRDefault="00554036" w:rsidP="0055403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064" w:type="dxa"/>
          </w:tcPr>
          <w:p w14:paraId="5B746656" w14:textId="77777777" w:rsidR="00554036" w:rsidRPr="00B46DEA" w:rsidRDefault="00554036" w:rsidP="0055403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554036" w14:paraId="025B1285" w14:textId="77777777" w:rsidTr="006F019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895" w:type="dxa"/>
          </w:tcPr>
          <w:p w14:paraId="1FDB9744" w14:textId="01C6086F" w:rsidR="00554036" w:rsidRPr="00B46DEA" w:rsidRDefault="00554036" w:rsidP="00554036">
            <w:pPr>
              <w:pStyle w:val="ListParagraph"/>
              <w:numPr>
                <w:ilvl w:val="0"/>
                <w:numId w:val="4"/>
              </w:numPr>
              <w:ind w:left="393" w:hanging="393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6218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sym w:font="Webdings" w:char="F063"/>
            </w:r>
          </w:p>
        </w:tc>
        <w:tc>
          <w:tcPr>
            <w:tcW w:w="3870" w:type="dxa"/>
          </w:tcPr>
          <w:p w14:paraId="4646C71F" w14:textId="77777777" w:rsidR="00554036" w:rsidRPr="00B46DEA" w:rsidRDefault="00554036" w:rsidP="0055403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4320" w:type="dxa"/>
          </w:tcPr>
          <w:p w14:paraId="2451CBAD" w14:textId="77777777" w:rsidR="00554036" w:rsidRPr="00B46DEA" w:rsidRDefault="00554036" w:rsidP="0055403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330" w:type="dxa"/>
          </w:tcPr>
          <w:p w14:paraId="70FF7666" w14:textId="77777777" w:rsidR="00554036" w:rsidRPr="00B46DEA" w:rsidRDefault="00554036" w:rsidP="0055403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064" w:type="dxa"/>
          </w:tcPr>
          <w:p w14:paraId="136E1CFF" w14:textId="77777777" w:rsidR="00554036" w:rsidRPr="00B46DEA" w:rsidRDefault="00554036" w:rsidP="0055403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554036" w14:paraId="6260FEE9" w14:textId="77777777" w:rsidTr="006F019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895" w:type="dxa"/>
          </w:tcPr>
          <w:p w14:paraId="7AE22E69" w14:textId="253E4DE9" w:rsidR="00554036" w:rsidRPr="00B46DEA" w:rsidRDefault="00554036" w:rsidP="00554036">
            <w:pPr>
              <w:pStyle w:val="ListParagraph"/>
              <w:numPr>
                <w:ilvl w:val="0"/>
                <w:numId w:val="4"/>
              </w:numPr>
              <w:ind w:left="393" w:hanging="393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6218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sym w:font="Webdings" w:char="F063"/>
            </w:r>
          </w:p>
        </w:tc>
        <w:tc>
          <w:tcPr>
            <w:tcW w:w="3870" w:type="dxa"/>
          </w:tcPr>
          <w:p w14:paraId="521B77E5" w14:textId="77777777" w:rsidR="00554036" w:rsidRPr="00B46DEA" w:rsidRDefault="00554036" w:rsidP="0055403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4320" w:type="dxa"/>
          </w:tcPr>
          <w:p w14:paraId="02D35F71" w14:textId="77777777" w:rsidR="00554036" w:rsidRPr="00B46DEA" w:rsidRDefault="00554036" w:rsidP="0055403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330" w:type="dxa"/>
          </w:tcPr>
          <w:p w14:paraId="02011DF6" w14:textId="77777777" w:rsidR="00554036" w:rsidRPr="00B46DEA" w:rsidRDefault="00554036" w:rsidP="0055403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064" w:type="dxa"/>
          </w:tcPr>
          <w:p w14:paraId="7FE72AC7" w14:textId="77777777" w:rsidR="00554036" w:rsidRPr="00B46DEA" w:rsidRDefault="00554036" w:rsidP="0055403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554036" w14:paraId="1C004069" w14:textId="77777777" w:rsidTr="006F019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895" w:type="dxa"/>
          </w:tcPr>
          <w:p w14:paraId="3E201520" w14:textId="623FB757" w:rsidR="00554036" w:rsidRPr="00B46DEA" w:rsidRDefault="00554036" w:rsidP="00554036">
            <w:pPr>
              <w:pStyle w:val="ListParagraph"/>
              <w:numPr>
                <w:ilvl w:val="0"/>
                <w:numId w:val="4"/>
              </w:numPr>
              <w:ind w:left="393" w:hanging="393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6218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sym w:font="Webdings" w:char="F063"/>
            </w:r>
          </w:p>
        </w:tc>
        <w:tc>
          <w:tcPr>
            <w:tcW w:w="3870" w:type="dxa"/>
          </w:tcPr>
          <w:p w14:paraId="6FD7365A" w14:textId="77777777" w:rsidR="00554036" w:rsidRPr="00B46DEA" w:rsidRDefault="00554036" w:rsidP="0055403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4320" w:type="dxa"/>
          </w:tcPr>
          <w:p w14:paraId="2E4D10B5" w14:textId="77777777" w:rsidR="00554036" w:rsidRPr="00B46DEA" w:rsidRDefault="00554036" w:rsidP="0055403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330" w:type="dxa"/>
          </w:tcPr>
          <w:p w14:paraId="5D86CCE3" w14:textId="77777777" w:rsidR="00554036" w:rsidRPr="00B46DEA" w:rsidRDefault="00554036" w:rsidP="0055403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064" w:type="dxa"/>
          </w:tcPr>
          <w:p w14:paraId="176F1834" w14:textId="77777777" w:rsidR="00554036" w:rsidRPr="00B46DEA" w:rsidRDefault="00554036" w:rsidP="0055403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554036" w14:paraId="27BA2BFF" w14:textId="77777777" w:rsidTr="006F019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895" w:type="dxa"/>
          </w:tcPr>
          <w:p w14:paraId="50B3B47D" w14:textId="41697154" w:rsidR="00554036" w:rsidRPr="00B46DEA" w:rsidRDefault="00554036" w:rsidP="00554036">
            <w:pPr>
              <w:pStyle w:val="ListParagraph"/>
              <w:numPr>
                <w:ilvl w:val="0"/>
                <w:numId w:val="4"/>
              </w:numPr>
              <w:ind w:left="393" w:hanging="393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6218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sym w:font="Webdings" w:char="F063"/>
            </w:r>
          </w:p>
        </w:tc>
        <w:tc>
          <w:tcPr>
            <w:tcW w:w="3870" w:type="dxa"/>
          </w:tcPr>
          <w:p w14:paraId="19201008" w14:textId="77777777" w:rsidR="00554036" w:rsidRPr="00B46DEA" w:rsidRDefault="00554036" w:rsidP="0055403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4320" w:type="dxa"/>
          </w:tcPr>
          <w:p w14:paraId="7E13B69A" w14:textId="77777777" w:rsidR="00554036" w:rsidRPr="00B46DEA" w:rsidRDefault="00554036" w:rsidP="0055403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330" w:type="dxa"/>
          </w:tcPr>
          <w:p w14:paraId="55513EE2" w14:textId="77777777" w:rsidR="00554036" w:rsidRPr="00B46DEA" w:rsidRDefault="00554036" w:rsidP="0055403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2064" w:type="dxa"/>
          </w:tcPr>
          <w:p w14:paraId="28E65791" w14:textId="77777777" w:rsidR="00554036" w:rsidRPr="00B46DEA" w:rsidRDefault="00554036" w:rsidP="00554036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554036" w14:paraId="1A61A4E1" w14:textId="77777777" w:rsidTr="006F019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895" w:type="dxa"/>
          </w:tcPr>
          <w:p w14:paraId="2C3692B4" w14:textId="2FA451F8" w:rsidR="00554036" w:rsidRPr="006569B9" w:rsidRDefault="00554036" w:rsidP="00554036">
            <w:pPr>
              <w:pStyle w:val="ListParagraph"/>
              <w:numPr>
                <w:ilvl w:val="0"/>
                <w:numId w:val="4"/>
              </w:numPr>
              <w:ind w:left="393" w:hanging="393"/>
              <w:rPr>
                <w:sz w:val="22"/>
                <w:szCs w:val="22"/>
                <w:lang w:val="en-GB"/>
              </w:rPr>
            </w:pPr>
            <w:r w:rsidRPr="001929ED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sym w:font="Webdings" w:char="F063"/>
            </w:r>
          </w:p>
        </w:tc>
        <w:tc>
          <w:tcPr>
            <w:tcW w:w="3870" w:type="dxa"/>
          </w:tcPr>
          <w:p w14:paraId="44A6DEA7" w14:textId="77777777" w:rsidR="00554036" w:rsidRDefault="00554036" w:rsidP="0055403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320" w:type="dxa"/>
          </w:tcPr>
          <w:p w14:paraId="50B88FA6" w14:textId="77777777" w:rsidR="00554036" w:rsidRDefault="00554036" w:rsidP="0055403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330" w:type="dxa"/>
          </w:tcPr>
          <w:p w14:paraId="536BAB1F" w14:textId="77777777" w:rsidR="00554036" w:rsidRDefault="00554036" w:rsidP="0055403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064" w:type="dxa"/>
          </w:tcPr>
          <w:p w14:paraId="6490999A" w14:textId="77777777" w:rsidR="00554036" w:rsidRDefault="00554036" w:rsidP="00554036">
            <w:pPr>
              <w:rPr>
                <w:sz w:val="22"/>
                <w:szCs w:val="22"/>
                <w:lang w:val="en-GB"/>
              </w:rPr>
            </w:pPr>
          </w:p>
        </w:tc>
      </w:tr>
      <w:tr w:rsidR="00554036" w14:paraId="59EAA427" w14:textId="77777777" w:rsidTr="006F019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895" w:type="dxa"/>
          </w:tcPr>
          <w:p w14:paraId="2EFF0FD9" w14:textId="4DE95941" w:rsidR="00554036" w:rsidRPr="006569B9" w:rsidRDefault="00554036" w:rsidP="00554036">
            <w:pPr>
              <w:pStyle w:val="ListParagraph"/>
              <w:numPr>
                <w:ilvl w:val="0"/>
                <w:numId w:val="4"/>
              </w:numPr>
              <w:ind w:left="393" w:hanging="393"/>
              <w:rPr>
                <w:sz w:val="22"/>
                <w:szCs w:val="22"/>
                <w:lang w:val="en-GB"/>
              </w:rPr>
            </w:pPr>
            <w:r w:rsidRPr="001929ED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sym w:font="Webdings" w:char="F063"/>
            </w:r>
          </w:p>
        </w:tc>
        <w:tc>
          <w:tcPr>
            <w:tcW w:w="3870" w:type="dxa"/>
          </w:tcPr>
          <w:p w14:paraId="0A0FD5F2" w14:textId="77777777" w:rsidR="00554036" w:rsidRDefault="00554036" w:rsidP="0055403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320" w:type="dxa"/>
          </w:tcPr>
          <w:p w14:paraId="1C8F5DCA" w14:textId="77777777" w:rsidR="00554036" w:rsidRDefault="00554036" w:rsidP="0055403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330" w:type="dxa"/>
          </w:tcPr>
          <w:p w14:paraId="430DBCB0" w14:textId="77777777" w:rsidR="00554036" w:rsidRDefault="00554036" w:rsidP="0055403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064" w:type="dxa"/>
          </w:tcPr>
          <w:p w14:paraId="010C8F85" w14:textId="77777777" w:rsidR="00554036" w:rsidRDefault="00554036" w:rsidP="00554036">
            <w:pPr>
              <w:rPr>
                <w:sz w:val="22"/>
                <w:szCs w:val="22"/>
                <w:lang w:val="en-GB"/>
              </w:rPr>
            </w:pPr>
          </w:p>
        </w:tc>
      </w:tr>
      <w:tr w:rsidR="00A10543" w14:paraId="155E0C52" w14:textId="77777777" w:rsidTr="006F019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895" w:type="dxa"/>
          </w:tcPr>
          <w:p w14:paraId="3D24EC60" w14:textId="2A3820E9" w:rsidR="00A10543" w:rsidRPr="001929ED" w:rsidRDefault="00A10543" w:rsidP="00554036">
            <w:pPr>
              <w:pStyle w:val="ListParagraph"/>
              <w:numPr>
                <w:ilvl w:val="0"/>
                <w:numId w:val="4"/>
              </w:numPr>
              <w:ind w:left="393" w:hanging="393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1929ED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sym w:font="Webdings" w:char="F063"/>
            </w:r>
          </w:p>
        </w:tc>
        <w:tc>
          <w:tcPr>
            <w:tcW w:w="3870" w:type="dxa"/>
          </w:tcPr>
          <w:p w14:paraId="4C8CE4DC" w14:textId="77777777" w:rsidR="00A10543" w:rsidRDefault="00A10543" w:rsidP="0055403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320" w:type="dxa"/>
          </w:tcPr>
          <w:p w14:paraId="5434986C" w14:textId="77777777" w:rsidR="00A10543" w:rsidRDefault="00A10543" w:rsidP="0055403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330" w:type="dxa"/>
          </w:tcPr>
          <w:p w14:paraId="00C85289" w14:textId="77777777" w:rsidR="00A10543" w:rsidRDefault="00A10543" w:rsidP="0055403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064" w:type="dxa"/>
          </w:tcPr>
          <w:p w14:paraId="20130972" w14:textId="77777777" w:rsidR="00A10543" w:rsidRDefault="00A10543" w:rsidP="00554036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5CDD133C" w14:textId="77777777" w:rsidR="00937B2D" w:rsidRPr="000600F5" w:rsidRDefault="00937B2D">
      <w:pPr>
        <w:rPr>
          <w:sz w:val="22"/>
          <w:szCs w:val="22"/>
          <w:lang w:val="en-GB"/>
        </w:rPr>
      </w:pPr>
    </w:p>
    <w:sectPr w:rsidR="00937B2D" w:rsidRPr="000600F5" w:rsidSect="003A45D0">
      <w:headerReference w:type="default" r:id="rId15"/>
      <w:pgSz w:w="16838" w:h="11906" w:orient="landscape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2EF6E" w14:textId="77777777" w:rsidR="00A44E27" w:rsidRDefault="00A44E27" w:rsidP="00DA5E49">
      <w:r>
        <w:separator/>
      </w:r>
    </w:p>
  </w:endnote>
  <w:endnote w:type="continuationSeparator" w:id="0">
    <w:p w14:paraId="441E8622" w14:textId="77777777" w:rsidR="00A44E27" w:rsidRDefault="00A44E27" w:rsidP="00DA5E49">
      <w:r>
        <w:continuationSeparator/>
      </w:r>
    </w:p>
  </w:endnote>
  <w:endnote w:type="continuationNotice" w:id="1">
    <w:p w14:paraId="1A673E18" w14:textId="77777777" w:rsidR="00A44E27" w:rsidRDefault="00A44E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B975F" w14:textId="77777777" w:rsidR="00A44E27" w:rsidRDefault="00A44E27" w:rsidP="00DA5E49">
      <w:r>
        <w:separator/>
      </w:r>
    </w:p>
  </w:footnote>
  <w:footnote w:type="continuationSeparator" w:id="0">
    <w:p w14:paraId="7EED887B" w14:textId="77777777" w:rsidR="00A44E27" w:rsidRDefault="00A44E27" w:rsidP="00DA5E49">
      <w:r>
        <w:continuationSeparator/>
      </w:r>
    </w:p>
  </w:footnote>
  <w:footnote w:type="continuationNotice" w:id="1">
    <w:p w14:paraId="1F96000A" w14:textId="77777777" w:rsidR="00A44E27" w:rsidRDefault="00A44E27"/>
  </w:footnote>
  <w:footnote w:id="2">
    <w:p w14:paraId="2176B829" w14:textId="0C454D30" w:rsidR="00BD6108" w:rsidRPr="00105E98" w:rsidRDefault="00BD6108">
      <w:pPr>
        <w:pStyle w:val="FootnoteText"/>
        <w:rPr>
          <w:lang w:val="en-GB"/>
        </w:rPr>
      </w:pPr>
      <w:r w:rsidRPr="00105E98">
        <w:rPr>
          <w:rStyle w:val="FootnoteReference"/>
        </w:rPr>
        <w:footnoteRef/>
      </w:r>
      <w:r w:rsidRPr="00105E98">
        <w:t xml:space="preserve"> </w:t>
      </w:r>
      <w:r w:rsidRPr="00105E98">
        <w:rPr>
          <w:rFonts w:asciiTheme="majorHAnsi" w:hAnsiTheme="majorHAnsi" w:cstheme="majorHAnsi"/>
          <w:lang w:val="en-GB"/>
        </w:rPr>
        <w:t>The recommendations from the Special Procedure can be taken very seriously by several States and/or depending on the profile the issue covered has in the country or wider region. In a particular country, country visit reports may have more influence than thematic reports. For individual communications, some States regularly comply with their findings while others may disregard them.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A9E6A" w14:textId="231EB6AB" w:rsidR="00DA5E49" w:rsidRPr="003A45D0" w:rsidRDefault="003A45D0" w:rsidP="00320379">
    <w:pPr>
      <w:pStyle w:val="Title"/>
      <w:spacing w:after="480"/>
      <w:ind w:left="850"/>
      <w:rPr>
        <w:lang w:val="fr-CH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735D16D" wp14:editId="13DEDA70">
          <wp:simplePos x="0" y="0"/>
          <wp:positionH relativeFrom="column">
            <wp:posOffset>-497205</wp:posOffset>
          </wp:positionH>
          <wp:positionV relativeFrom="paragraph">
            <wp:posOffset>-178164</wp:posOffset>
          </wp:positionV>
          <wp:extent cx="865116" cy="720000"/>
          <wp:effectExtent l="0" t="0" r="0" b="0"/>
          <wp:wrapNone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116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F2C1">
      <w:rPr>
        <w:lang w:val="fr-CH"/>
      </w:rPr>
      <w:t>Special Procedures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462EE"/>
    <w:multiLevelType w:val="hybridMultilevel"/>
    <w:tmpl w:val="0A666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10AF7"/>
    <w:multiLevelType w:val="hybridMultilevel"/>
    <w:tmpl w:val="769822A0"/>
    <w:lvl w:ilvl="0" w:tplc="34B43B4A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E5083"/>
    <w:multiLevelType w:val="hybridMultilevel"/>
    <w:tmpl w:val="0FFEF8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76422"/>
    <w:multiLevelType w:val="hybridMultilevel"/>
    <w:tmpl w:val="94B2DACE"/>
    <w:lvl w:ilvl="0" w:tplc="34B43B4A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49"/>
    <w:rsid w:val="00010563"/>
    <w:rsid w:val="00040195"/>
    <w:rsid w:val="00045E87"/>
    <w:rsid w:val="000600F5"/>
    <w:rsid w:val="00070163"/>
    <w:rsid w:val="000A73E7"/>
    <w:rsid w:val="000F46D9"/>
    <w:rsid w:val="00100CE2"/>
    <w:rsid w:val="00105E98"/>
    <w:rsid w:val="001778A8"/>
    <w:rsid w:val="001A018F"/>
    <w:rsid w:val="001B6064"/>
    <w:rsid w:val="001D5065"/>
    <w:rsid w:val="002171C9"/>
    <w:rsid w:val="0025339F"/>
    <w:rsid w:val="002630EF"/>
    <w:rsid w:val="00267D9C"/>
    <w:rsid w:val="00277E83"/>
    <w:rsid w:val="002A2CE1"/>
    <w:rsid w:val="002B7151"/>
    <w:rsid w:val="002C54D9"/>
    <w:rsid w:val="002F255A"/>
    <w:rsid w:val="002F3A5A"/>
    <w:rsid w:val="00316178"/>
    <w:rsid w:val="00320379"/>
    <w:rsid w:val="0033314D"/>
    <w:rsid w:val="00342D6E"/>
    <w:rsid w:val="0037602B"/>
    <w:rsid w:val="00394468"/>
    <w:rsid w:val="00396660"/>
    <w:rsid w:val="003A02E9"/>
    <w:rsid w:val="003A45D0"/>
    <w:rsid w:val="003D3510"/>
    <w:rsid w:val="00417F6A"/>
    <w:rsid w:val="00450A95"/>
    <w:rsid w:val="00450D13"/>
    <w:rsid w:val="00461109"/>
    <w:rsid w:val="00467EFF"/>
    <w:rsid w:val="00471B5B"/>
    <w:rsid w:val="00481A7D"/>
    <w:rsid w:val="00496EC0"/>
    <w:rsid w:val="004D6CD1"/>
    <w:rsid w:val="00554036"/>
    <w:rsid w:val="00571B55"/>
    <w:rsid w:val="00575004"/>
    <w:rsid w:val="0057549E"/>
    <w:rsid w:val="00575666"/>
    <w:rsid w:val="00585E8D"/>
    <w:rsid w:val="005A50C3"/>
    <w:rsid w:val="005E6EC6"/>
    <w:rsid w:val="006118C8"/>
    <w:rsid w:val="00633E37"/>
    <w:rsid w:val="006569B9"/>
    <w:rsid w:val="006A6922"/>
    <w:rsid w:val="006F019C"/>
    <w:rsid w:val="006F4495"/>
    <w:rsid w:val="00711160"/>
    <w:rsid w:val="00714D09"/>
    <w:rsid w:val="007216DD"/>
    <w:rsid w:val="00744800"/>
    <w:rsid w:val="007D1901"/>
    <w:rsid w:val="00804048"/>
    <w:rsid w:val="00807B3E"/>
    <w:rsid w:val="0081F2C1"/>
    <w:rsid w:val="008207AB"/>
    <w:rsid w:val="008322FB"/>
    <w:rsid w:val="00853F29"/>
    <w:rsid w:val="00881E48"/>
    <w:rsid w:val="00891BD9"/>
    <w:rsid w:val="008C7B05"/>
    <w:rsid w:val="008E6464"/>
    <w:rsid w:val="00901D5C"/>
    <w:rsid w:val="0091021F"/>
    <w:rsid w:val="00911DBC"/>
    <w:rsid w:val="00937B2D"/>
    <w:rsid w:val="00941C65"/>
    <w:rsid w:val="00941C8D"/>
    <w:rsid w:val="00954312"/>
    <w:rsid w:val="0098420E"/>
    <w:rsid w:val="009C15A0"/>
    <w:rsid w:val="009D3FFA"/>
    <w:rsid w:val="00A05C80"/>
    <w:rsid w:val="00A10543"/>
    <w:rsid w:val="00A36C6D"/>
    <w:rsid w:val="00A44E27"/>
    <w:rsid w:val="00A47D2B"/>
    <w:rsid w:val="00A65114"/>
    <w:rsid w:val="00A71A78"/>
    <w:rsid w:val="00A805A0"/>
    <w:rsid w:val="00A91A26"/>
    <w:rsid w:val="00AA185C"/>
    <w:rsid w:val="00AD16B3"/>
    <w:rsid w:val="00AD4170"/>
    <w:rsid w:val="00AF5E19"/>
    <w:rsid w:val="00B13790"/>
    <w:rsid w:val="00B14E38"/>
    <w:rsid w:val="00B46953"/>
    <w:rsid w:val="00B46DEA"/>
    <w:rsid w:val="00B6027E"/>
    <w:rsid w:val="00B611A3"/>
    <w:rsid w:val="00B70F61"/>
    <w:rsid w:val="00BD1ABC"/>
    <w:rsid w:val="00BD6108"/>
    <w:rsid w:val="00C1292E"/>
    <w:rsid w:val="00C42170"/>
    <w:rsid w:val="00C42CB3"/>
    <w:rsid w:val="00C53B9E"/>
    <w:rsid w:val="00C73264"/>
    <w:rsid w:val="00D36B0F"/>
    <w:rsid w:val="00D414E8"/>
    <w:rsid w:val="00D60785"/>
    <w:rsid w:val="00D63357"/>
    <w:rsid w:val="00D67F3A"/>
    <w:rsid w:val="00D70312"/>
    <w:rsid w:val="00D82B11"/>
    <w:rsid w:val="00DA0B70"/>
    <w:rsid w:val="00DA5E49"/>
    <w:rsid w:val="00E02464"/>
    <w:rsid w:val="00E21561"/>
    <w:rsid w:val="00E21BD5"/>
    <w:rsid w:val="00E669B8"/>
    <w:rsid w:val="00E942C1"/>
    <w:rsid w:val="00EA22C6"/>
    <w:rsid w:val="00ED0E18"/>
    <w:rsid w:val="00F01C4B"/>
    <w:rsid w:val="00F13063"/>
    <w:rsid w:val="00F56115"/>
    <w:rsid w:val="00F82BC1"/>
    <w:rsid w:val="00FB0BE3"/>
    <w:rsid w:val="00FD7B30"/>
    <w:rsid w:val="2205D81B"/>
    <w:rsid w:val="276E8E33"/>
    <w:rsid w:val="37FCFF62"/>
    <w:rsid w:val="617FB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2FCAC"/>
  <w15:chartTrackingRefBased/>
  <w15:docId w15:val="{5945797B-17FF-324D-BDC0-94A24946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E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5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5E4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A5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A5E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E49"/>
  </w:style>
  <w:style w:type="paragraph" w:styleId="Footer">
    <w:name w:val="footer"/>
    <w:basedOn w:val="Normal"/>
    <w:link w:val="FooterChar"/>
    <w:uiPriority w:val="99"/>
    <w:unhideWhenUsed/>
    <w:rsid w:val="00DA5E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E49"/>
  </w:style>
  <w:style w:type="paragraph" w:styleId="Title">
    <w:name w:val="Title"/>
    <w:basedOn w:val="Normal"/>
    <w:next w:val="Normal"/>
    <w:link w:val="TitleChar"/>
    <w:uiPriority w:val="10"/>
    <w:qFormat/>
    <w:rsid w:val="00DA5E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A5E4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5E4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754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54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54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49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7602B"/>
    <w:rPr>
      <w:rFonts w:ascii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61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61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610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6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66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71A7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3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9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7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5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4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2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1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7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7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1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0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4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0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8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1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4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pinternet.ohchr.org/ViewAllCountryMandates.aspx?Type=TM&amp;lang=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pinternet.ohchr.org/ViewAllCountryMandates.aspx?lang=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hchr.org/EN/HRBodies/HRC/Pages/SpecialProcedures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pinternet.ohchr.org/forthcomingcountryvisits.aspx?lang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050D803BE034CBEAE477B239A7EDF" ma:contentTypeVersion="13" ma:contentTypeDescription="Create a new document." ma:contentTypeScope="" ma:versionID="fa138bcb0a03c36086d056ad747f82ee">
  <xsd:schema xmlns:xsd="http://www.w3.org/2001/XMLSchema" xmlns:xs="http://www.w3.org/2001/XMLSchema" xmlns:p="http://schemas.microsoft.com/office/2006/metadata/properties" xmlns:ns2="f9c27809-4287-4089-b372-ed66d4ae5532" xmlns:ns3="a7a6521e-3bb8-4ccc-a7e1-cb34b7e3d81d" targetNamespace="http://schemas.microsoft.com/office/2006/metadata/properties" ma:root="true" ma:fieldsID="862c9b202640aeb09427d78e1e51d97b" ns2:_="" ns3:_="">
    <xsd:import namespace="f9c27809-4287-4089-b372-ed66d4ae5532"/>
    <xsd:import namespace="a7a6521e-3bb8-4ccc-a7e1-cb34b7e3d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27809-4287-4089-b372-ed66d4ae5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6521e-3bb8-4ccc-a7e1-cb34b7e3d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a6521e-3bb8-4ccc-a7e1-cb34b7e3d81d">
      <UserInfo>
        <DisplayName>Nancy Polutan-Teulieres</DisplayName>
        <AccountId>168</AccountId>
        <AccountType/>
      </UserInfo>
      <UserInfo>
        <DisplayName>Celine Maret</DisplayName>
        <AccountId>1239</AccountId>
        <AccountType/>
      </UserInfo>
      <UserInfo>
        <DisplayName>Peter Swiniarski</DisplayName>
        <AccountId>14</AccountId>
        <AccountType/>
      </UserInfo>
      <UserInfo>
        <DisplayName>Martina Caterina</DisplayName>
        <AccountId>196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35F2-2D19-4075-A87A-3B07FFBFF5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D2D508-CE19-4288-B826-E9A656525759}"/>
</file>

<file path=customXml/itemProps3.xml><?xml version="1.0" encoding="utf-8"?>
<ds:datastoreItem xmlns:ds="http://schemas.openxmlformats.org/officeDocument/2006/customXml" ds:itemID="{5FFCA0B1-F451-4E64-BF59-A90B9EB825D1}">
  <ds:schemaRefs>
    <ds:schemaRef ds:uri="http://schemas.microsoft.com/office/2006/metadata/properties"/>
    <ds:schemaRef ds:uri="http://schemas.microsoft.com/office/infopath/2007/PartnerControls"/>
    <ds:schemaRef ds:uri="f3c5914b-f836-4f8a-87ca-6de4087dd009"/>
  </ds:schemaRefs>
</ds:datastoreItem>
</file>

<file path=customXml/itemProps4.xml><?xml version="1.0" encoding="utf-8"?>
<ds:datastoreItem xmlns:ds="http://schemas.openxmlformats.org/officeDocument/2006/customXml" ds:itemID="{F0497291-08EA-4046-A1B2-2AC218A9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Luciani</dc:creator>
  <cp:keywords/>
  <dc:description/>
  <cp:lastModifiedBy>Cecile</cp:lastModifiedBy>
  <cp:revision>2</cp:revision>
  <dcterms:created xsi:type="dcterms:W3CDTF">2022-05-20T07:59:00Z</dcterms:created>
  <dcterms:modified xsi:type="dcterms:W3CDTF">2022-05-20T07:59:00Z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0x0101008BB050D803BE034CBEAE477B239A7EDF</vt:lpwstr>
  </property>
</Properties>
</file>