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FB743" w14:textId="2B8B14D3" w:rsidR="00320379" w:rsidRPr="001804C5" w:rsidRDefault="00320379" w:rsidP="00320379">
      <w:pPr>
        <w:spacing w:after="240"/>
        <w:jc w:val="both"/>
        <w:rPr>
          <w:rFonts w:asciiTheme="majorHAnsi" w:hAnsiTheme="majorHAnsi" w:cstheme="majorHAnsi"/>
        </w:rPr>
      </w:pPr>
      <w:bookmarkStart w:id="0" w:name="_GoBack"/>
      <w:bookmarkEnd w:id="0"/>
      <w:r w:rsidRPr="001804C5">
        <w:rPr>
          <w:rFonts w:asciiTheme="majorHAnsi" w:hAnsiTheme="majorHAnsi" w:cstheme="majorHAnsi"/>
        </w:rPr>
        <w:t xml:space="preserve">The </w:t>
      </w:r>
      <w:hyperlink r:id="rId10" w:history="1">
        <w:r w:rsidRPr="001804C5">
          <w:rPr>
            <w:rStyle w:val="Hyperlink"/>
            <w:rFonts w:asciiTheme="majorHAnsi" w:hAnsiTheme="majorHAnsi" w:cstheme="majorHAnsi"/>
          </w:rPr>
          <w:t>Universal Periodic Review (UPR)</w:t>
        </w:r>
      </w:hyperlink>
      <w:r w:rsidRPr="001804C5">
        <w:rPr>
          <w:rFonts w:asciiTheme="majorHAnsi" w:hAnsiTheme="majorHAnsi" w:cstheme="majorHAnsi"/>
        </w:rPr>
        <w:t xml:space="preserve"> is a unique process which involves a review of the human rights records of all UN Member States. The UPR is a State-driven process, under the auspices of the Human Rights Council</w:t>
      </w:r>
      <w:r w:rsidR="00E52613">
        <w:rPr>
          <w:rFonts w:asciiTheme="majorHAnsi" w:hAnsiTheme="majorHAnsi" w:cstheme="majorHAnsi"/>
        </w:rPr>
        <w:t xml:space="preserve"> (HRC)</w:t>
      </w:r>
      <w:r w:rsidRPr="001804C5">
        <w:rPr>
          <w:rFonts w:asciiTheme="majorHAnsi" w:hAnsiTheme="majorHAnsi" w:cstheme="majorHAnsi"/>
        </w:rPr>
        <w:t>, which provides the opportunity for each State to declare what actions they have taken to improve the human rights situations in their countries and to fulfil their human rights obligations. </w:t>
      </w:r>
      <w:r w:rsidR="006B0B60">
        <w:rPr>
          <w:rFonts w:asciiTheme="majorHAnsi" w:hAnsiTheme="majorHAnsi" w:cstheme="majorHAnsi"/>
        </w:rPr>
        <w:t xml:space="preserve">Protection clusters, with their extensive experience and access on the ground, can bring information the attention of the States conducing the UPR process to better inform the recommendations they make to States under review. </w:t>
      </w:r>
    </w:p>
    <w:tbl>
      <w:tblPr>
        <w:tblStyle w:val="TableGrid"/>
        <w:tblW w:w="14479" w:type="dxa"/>
        <w:tblBorders>
          <w:insideH w:val="dotted" w:sz="4" w:space="0" w:color="auto"/>
          <w:insideV w:val="none" w:sz="0" w:space="0" w:color="auto"/>
        </w:tblBorders>
        <w:tblLook w:val="04A0" w:firstRow="1" w:lastRow="0" w:firstColumn="1" w:lastColumn="0" w:noHBand="0" w:noVBand="1"/>
      </w:tblPr>
      <w:tblGrid>
        <w:gridCol w:w="3539"/>
        <w:gridCol w:w="10940"/>
      </w:tblGrid>
      <w:tr w:rsidR="00DA5E49" w:rsidRPr="0037602B" w14:paraId="23146F40" w14:textId="77777777" w:rsidTr="003A45D0">
        <w:trPr>
          <w:trHeight w:val="67"/>
        </w:trPr>
        <w:tc>
          <w:tcPr>
            <w:tcW w:w="14479" w:type="dxa"/>
            <w:gridSpan w:val="2"/>
            <w:tcBorders>
              <w:top w:val="single" w:sz="4" w:space="0" w:color="auto"/>
              <w:bottom w:val="nil"/>
            </w:tcBorders>
            <w:shd w:val="clear" w:color="auto" w:fill="ED7D31" w:themeFill="accent2"/>
          </w:tcPr>
          <w:p w14:paraId="2DF174A3" w14:textId="0D2E544F" w:rsidR="00DA5E49" w:rsidRPr="0037602B" w:rsidRDefault="00DA5E49" w:rsidP="003A45D0">
            <w:pPr>
              <w:spacing w:before="60" w:after="60"/>
              <w:rPr>
                <w:b/>
                <w:bCs/>
              </w:rPr>
            </w:pPr>
            <w:r w:rsidRPr="0037602B">
              <w:rPr>
                <w:b/>
                <w:bCs/>
                <w:color w:val="000000" w:themeColor="text1"/>
              </w:rPr>
              <w:t>How does it work?</w:t>
            </w:r>
          </w:p>
        </w:tc>
      </w:tr>
      <w:tr w:rsidR="00DA5E49" w:rsidRPr="0037602B" w14:paraId="01F3A923" w14:textId="77777777" w:rsidTr="003A45D0">
        <w:trPr>
          <w:trHeight w:val="67"/>
        </w:trPr>
        <w:tc>
          <w:tcPr>
            <w:tcW w:w="3539" w:type="dxa"/>
            <w:tcBorders>
              <w:top w:val="nil"/>
            </w:tcBorders>
          </w:tcPr>
          <w:p w14:paraId="3A83CFB1" w14:textId="77777777" w:rsidR="00DA5E49" w:rsidRPr="0037602B" w:rsidRDefault="00DA5E49" w:rsidP="003A45D0">
            <w:pPr>
              <w:spacing w:before="60" w:after="60"/>
            </w:pPr>
            <w:r w:rsidRPr="0037602B">
              <w:rPr>
                <w:sz w:val="22"/>
                <w:szCs w:val="22"/>
              </w:rPr>
              <w:t>Which human rights are covered?</w:t>
            </w:r>
          </w:p>
        </w:tc>
        <w:tc>
          <w:tcPr>
            <w:tcW w:w="10940" w:type="dxa"/>
            <w:tcBorders>
              <w:top w:val="nil"/>
            </w:tcBorders>
          </w:tcPr>
          <w:p w14:paraId="6DC38C8B" w14:textId="6F8A428E" w:rsidR="00DA5E49" w:rsidRPr="0037602B" w:rsidRDefault="00DA5E49" w:rsidP="003A45D0">
            <w:pPr>
              <w:spacing w:before="60" w:after="60"/>
              <w:ind w:left="283"/>
            </w:pPr>
            <w:r w:rsidRPr="0037602B">
              <w:rPr>
                <w:sz w:val="22"/>
                <w:szCs w:val="22"/>
              </w:rPr>
              <w:t>A</w:t>
            </w:r>
            <w:r w:rsidR="0037602B" w:rsidRPr="0037602B">
              <w:rPr>
                <w:sz w:val="22"/>
                <w:szCs w:val="22"/>
              </w:rPr>
              <w:t>ll</w:t>
            </w:r>
            <w:r w:rsidR="004F62FF">
              <w:rPr>
                <w:sz w:val="22"/>
                <w:szCs w:val="22"/>
              </w:rPr>
              <w:t xml:space="preserve"> plus IHL.</w:t>
            </w:r>
          </w:p>
        </w:tc>
      </w:tr>
      <w:tr w:rsidR="00DA5E49" w:rsidRPr="0037602B" w14:paraId="58F5CD7A" w14:textId="77777777" w:rsidTr="003A45D0">
        <w:trPr>
          <w:trHeight w:val="67"/>
        </w:trPr>
        <w:tc>
          <w:tcPr>
            <w:tcW w:w="3539" w:type="dxa"/>
          </w:tcPr>
          <w:p w14:paraId="7BAC41E8" w14:textId="77777777" w:rsidR="00DA5E49" w:rsidRPr="0037602B" w:rsidRDefault="00DA5E49" w:rsidP="003A45D0">
            <w:pPr>
              <w:spacing w:before="60" w:after="60"/>
            </w:pPr>
            <w:r w:rsidRPr="0037602B">
              <w:rPr>
                <w:sz w:val="22"/>
                <w:szCs w:val="22"/>
              </w:rPr>
              <w:t>Which countries are covered?</w:t>
            </w:r>
          </w:p>
        </w:tc>
        <w:tc>
          <w:tcPr>
            <w:tcW w:w="10940" w:type="dxa"/>
          </w:tcPr>
          <w:p w14:paraId="1A696935" w14:textId="563184D0" w:rsidR="00DA5E49" w:rsidRPr="0037602B" w:rsidRDefault="0037602B" w:rsidP="003A45D0">
            <w:pPr>
              <w:spacing w:before="60" w:after="60"/>
              <w:ind w:left="283"/>
            </w:pPr>
            <w:r w:rsidRPr="0037602B">
              <w:rPr>
                <w:sz w:val="22"/>
                <w:szCs w:val="22"/>
              </w:rPr>
              <w:t>All countrie</w:t>
            </w:r>
            <w:r>
              <w:rPr>
                <w:sz w:val="22"/>
                <w:szCs w:val="22"/>
              </w:rPr>
              <w:t xml:space="preserve">s </w:t>
            </w:r>
            <w:r w:rsidR="0000243E">
              <w:rPr>
                <w:sz w:val="22"/>
                <w:szCs w:val="22"/>
              </w:rPr>
              <w:t xml:space="preserve">are </w:t>
            </w:r>
            <w:r w:rsidRPr="0037602B">
              <w:rPr>
                <w:sz w:val="22"/>
                <w:szCs w:val="22"/>
              </w:rPr>
              <w:t>covered by the UPR</w:t>
            </w:r>
            <w:r>
              <w:rPr>
                <w:sz w:val="22"/>
                <w:szCs w:val="22"/>
              </w:rPr>
              <w:t>.</w:t>
            </w:r>
            <w:r w:rsidR="004F6744">
              <w:rPr>
                <w:sz w:val="22"/>
                <w:szCs w:val="22"/>
              </w:rPr>
              <w:t xml:space="preserve"> 100% participation so far in the first 3 cycles</w:t>
            </w:r>
            <w:r w:rsidR="004208F2">
              <w:rPr>
                <w:sz w:val="22"/>
                <w:szCs w:val="22"/>
              </w:rPr>
              <w:t xml:space="preserve"> (some 80 States sent mid-term reports).</w:t>
            </w:r>
          </w:p>
        </w:tc>
      </w:tr>
      <w:tr w:rsidR="00DA5E49" w:rsidRPr="0037602B" w14:paraId="469CEE64" w14:textId="77777777" w:rsidTr="003A45D0">
        <w:trPr>
          <w:trHeight w:val="67"/>
        </w:trPr>
        <w:tc>
          <w:tcPr>
            <w:tcW w:w="3539" w:type="dxa"/>
          </w:tcPr>
          <w:p w14:paraId="68D89623" w14:textId="77777777" w:rsidR="00DA5E49" w:rsidRPr="0037602B" w:rsidRDefault="00DA5E49" w:rsidP="003A45D0">
            <w:pPr>
              <w:spacing w:before="60" w:after="60"/>
            </w:pPr>
            <w:r w:rsidRPr="0037602B">
              <w:rPr>
                <w:sz w:val="22"/>
                <w:szCs w:val="22"/>
              </w:rPr>
              <w:t>How frequent is the monitoring?</w:t>
            </w:r>
          </w:p>
        </w:tc>
        <w:tc>
          <w:tcPr>
            <w:tcW w:w="10940" w:type="dxa"/>
          </w:tcPr>
          <w:p w14:paraId="5804AE3B" w14:textId="634EF07A" w:rsidR="00DA5E49" w:rsidRPr="0037602B" w:rsidRDefault="0037602B" w:rsidP="003A45D0">
            <w:pPr>
              <w:spacing w:before="60" w:after="60"/>
              <w:ind w:left="283"/>
              <w:rPr>
                <w:sz w:val="22"/>
                <w:szCs w:val="22"/>
              </w:rPr>
            </w:pPr>
            <w:r w:rsidRPr="0037602B">
              <w:rPr>
                <w:sz w:val="22"/>
                <w:szCs w:val="22"/>
              </w:rPr>
              <w:t xml:space="preserve">Every State is reviewed </w:t>
            </w:r>
            <w:hyperlink r:id="rId11" w:history="1">
              <w:r w:rsidRPr="006B0B60">
                <w:rPr>
                  <w:rStyle w:val="Hyperlink"/>
                  <w:sz w:val="22"/>
                  <w:szCs w:val="22"/>
                </w:rPr>
                <w:t xml:space="preserve">every </w:t>
              </w:r>
              <w:r w:rsidR="0000243E" w:rsidRPr="006B0B60">
                <w:rPr>
                  <w:rStyle w:val="Hyperlink"/>
                  <w:sz w:val="22"/>
                  <w:szCs w:val="22"/>
                </w:rPr>
                <w:t>4</w:t>
              </w:r>
              <w:r w:rsidRPr="006B0B60">
                <w:rPr>
                  <w:rStyle w:val="Hyperlink"/>
                  <w:sz w:val="22"/>
                  <w:szCs w:val="22"/>
                </w:rPr>
                <w:t>.5 years</w:t>
              </w:r>
            </w:hyperlink>
            <w:r w:rsidRPr="0037602B">
              <w:rPr>
                <w:sz w:val="22"/>
                <w:szCs w:val="22"/>
              </w:rPr>
              <w:t xml:space="preserve">, with voluntary </w:t>
            </w:r>
            <w:hyperlink r:id="rId12" w:history="1">
              <w:r w:rsidRPr="006B0B60">
                <w:rPr>
                  <w:rStyle w:val="Hyperlink"/>
                  <w:sz w:val="22"/>
                  <w:szCs w:val="22"/>
                </w:rPr>
                <w:t>mid-term reporting</w:t>
              </w:r>
            </w:hyperlink>
            <w:r w:rsidRPr="0037602B">
              <w:rPr>
                <w:sz w:val="22"/>
                <w:szCs w:val="22"/>
              </w:rPr>
              <w:t xml:space="preserve"> in between.</w:t>
            </w:r>
          </w:p>
        </w:tc>
      </w:tr>
      <w:tr w:rsidR="00DA5E49" w:rsidRPr="0037602B" w14:paraId="6BF0333A" w14:textId="77777777" w:rsidTr="003A45D0">
        <w:trPr>
          <w:trHeight w:val="67"/>
        </w:trPr>
        <w:tc>
          <w:tcPr>
            <w:tcW w:w="3539" w:type="dxa"/>
          </w:tcPr>
          <w:p w14:paraId="0D724DD2" w14:textId="77777777" w:rsidR="00DA5E49" w:rsidRPr="0037602B" w:rsidRDefault="00DA5E49" w:rsidP="003A45D0">
            <w:pPr>
              <w:spacing w:before="60" w:after="60"/>
            </w:pPr>
            <w:r w:rsidRPr="0037602B">
              <w:rPr>
                <w:sz w:val="22"/>
                <w:szCs w:val="22"/>
              </w:rPr>
              <w:t>What are its tools?</w:t>
            </w:r>
          </w:p>
        </w:tc>
        <w:tc>
          <w:tcPr>
            <w:tcW w:w="10940" w:type="dxa"/>
          </w:tcPr>
          <w:p w14:paraId="00F60247" w14:textId="408BB7DE" w:rsidR="00D240F8" w:rsidRPr="004B5B11" w:rsidRDefault="00A12C11" w:rsidP="004B5B11">
            <w:pPr>
              <w:spacing w:before="60" w:after="60"/>
              <w:ind w:left="283"/>
              <w:rPr>
                <w:sz w:val="22"/>
                <w:szCs w:val="22"/>
              </w:rPr>
            </w:pPr>
            <w:r>
              <w:rPr>
                <w:sz w:val="22"/>
                <w:szCs w:val="22"/>
              </w:rPr>
              <w:t xml:space="preserve">Public </w:t>
            </w:r>
            <w:r w:rsidR="00D6684E">
              <w:rPr>
                <w:sz w:val="22"/>
                <w:szCs w:val="22"/>
              </w:rPr>
              <w:t xml:space="preserve">interactive dialogues to </w:t>
            </w:r>
            <w:r w:rsidR="00A624B0">
              <w:rPr>
                <w:sz w:val="22"/>
                <w:szCs w:val="22"/>
              </w:rPr>
              <w:t>review of States’ human rights records</w:t>
            </w:r>
            <w:r>
              <w:rPr>
                <w:sz w:val="22"/>
                <w:szCs w:val="22"/>
              </w:rPr>
              <w:t xml:space="preserve">, </w:t>
            </w:r>
            <w:r w:rsidR="0037602B">
              <w:rPr>
                <w:sz w:val="22"/>
                <w:szCs w:val="22"/>
              </w:rPr>
              <w:t>UP</w:t>
            </w:r>
            <w:r w:rsidR="00DA5E49" w:rsidRPr="0037602B">
              <w:rPr>
                <w:sz w:val="22"/>
                <w:szCs w:val="22"/>
              </w:rPr>
              <w:t>R</w:t>
            </w:r>
            <w:r w:rsidR="0037602B">
              <w:rPr>
                <w:sz w:val="22"/>
                <w:szCs w:val="22"/>
              </w:rPr>
              <w:t xml:space="preserve"> </w:t>
            </w:r>
            <w:r w:rsidR="0000243E">
              <w:rPr>
                <w:sz w:val="22"/>
                <w:szCs w:val="22"/>
              </w:rPr>
              <w:t>Working Group r</w:t>
            </w:r>
            <w:r w:rsidR="0037602B">
              <w:rPr>
                <w:sz w:val="22"/>
                <w:szCs w:val="22"/>
              </w:rPr>
              <w:t>eport</w:t>
            </w:r>
            <w:r w:rsidR="00A624B0">
              <w:rPr>
                <w:sz w:val="22"/>
                <w:szCs w:val="22"/>
              </w:rPr>
              <w:t>s</w:t>
            </w:r>
            <w:r w:rsidR="0037602B">
              <w:rPr>
                <w:sz w:val="22"/>
                <w:szCs w:val="22"/>
              </w:rPr>
              <w:t xml:space="preserve"> </w:t>
            </w:r>
            <w:r>
              <w:rPr>
                <w:sz w:val="22"/>
                <w:szCs w:val="22"/>
              </w:rPr>
              <w:t xml:space="preserve">reflecting the </w:t>
            </w:r>
            <w:r w:rsidR="00A624B0">
              <w:rPr>
                <w:sz w:val="22"/>
                <w:szCs w:val="22"/>
              </w:rPr>
              <w:t xml:space="preserve">recommendations made </w:t>
            </w:r>
            <w:r w:rsidR="00D6684E">
              <w:rPr>
                <w:sz w:val="22"/>
                <w:szCs w:val="22"/>
              </w:rPr>
              <w:t xml:space="preserve">by States to the State under review, </w:t>
            </w:r>
            <w:r w:rsidR="0037602B">
              <w:rPr>
                <w:sz w:val="22"/>
                <w:szCs w:val="22"/>
              </w:rPr>
              <w:t>mid-term voluntary reporting.</w:t>
            </w:r>
          </w:p>
          <w:p w14:paraId="2B79BC04" w14:textId="751C1089" w:rsidR="00D240F8" w:rsidRDefault="00D240F8" w:rsidP="00D240F8">
            <w:pPr>
              <w:spacing w:before="60" w:after="60"/>
              <w:ind w:left="283"/>
            </w:pPr>
            <w:r>
              <w:rPr>
                <w:sz w:val="22"/>
                <w:szCs w:val="22"/>
              </w:rPr>
              <w:t xml:space="preserve">UPR documentation country by country, including a letter by the HC to the Foreign Minister after UPR adoption; a matrix of thematically clustered recommendations and an infographic, are available on-line; a </w:t>
            </w:r>
            <w:hyperlink r:id="rId13" w:history="1">
              <w:r>
                <w:rPr>
                  <w:rStyle w:val="Hyperlink"/>
                  <w:sz w:val="22"/>
                  <w:szCs w:val="22"/>
                </w:rPr>
                <w:t>UPR Practical Guidance</w:t>
              </w:r>
            </w:hyperlink>
            <w:r>
              <w:rPr>
                <w:sz w:val="22"/>
                <w:szCs w:val="22"/>
              </w:rPr>
              <w:t xml:space="preserve"> for UNRCs, DSRSGs, HCs is also available in all UN languages .</w:t>
            </w:r>
          </w:p>
          <w:p w14:paraId="75201C72" w14:textId="6A20A20F" w:rsidR="00D240F8" w:rsidRPr="0037602B" w:rsidRDefault="00D240F8" w:rsidP="003A45D0">
            <w:pPr>
              <w:spacing w:before="60" w:after="60"/>
              <w:ind w:left="283"/>
            </w:pPr>
          </w:p>
        </w:tc>
      </w:tr>
      <w:tr w:rsidR="00DA5E49" w:rsidRPr="0037602B" w14:paraId="17691698" w14:textId="77777777" w:rsidTr="003A45D0">
        <w:trPr>
          <w:trHeight w:val="67"/>
        </w:trPr>
        <w:tc>
          <w:tcPr>
            <w:tcW w:w="3539" w:type="dxa"/>
          </w:tcPr>
          <w:p w14:paraId="78EA34F9" w14:textId="77777777" w:rsidR="00DA5E49" w:rsidRPr="0037602B" w:rsidRDefault="00DA5E49" w:rsidP="003A45D0">
            <w:pPr>
              <w:spacing w:before="60" w:after="60"/>
            </w:pPr>
            <w:r w:rsidRPr="0037602B">
              <w:rPr>
                <w:sz w:val="22"/>
                <w:szCs w:val="22"/>
              </w:rPr>
              <w:t>Can they make country visits?</w:t>
            </w:r>
          </w:p>
        </w:tc>
        <w:tc>
          <w:tcPr>
            <w:tcW w:w="10940" w:type="dxa"/>
          </w:tcPr>
          <w:p w14:paraId="4BFF2CDE" w14:textId="6472367A" w:rsidR="00DA5E49" w:rsidRPr="0037602B" w:rsidRDefault="0037602B" w:rsidP="003A45D0">
            <w:pPr>
              <w:spacing w:before="60" w:after="60"/>
              <w:ind w:left="283"/>
            </w:pPr>
            <w:r>
              <w:rPr>
                <w:sz w:val="22"/>
                <w:szCs w:val="22"/>
              </w:rPr>
              <w:t>No</w:t>
            </w:r>
            <w:r w:rsidR="00DA5E49" w:rsidRPr="0037602B">
              <w:rPr>
                <w:sz w:val="22"/>
                <w:szCs w:val="22"/>
              </w:rPr>
              <w:t>.</w:t>
            </w:r>
            <w:r w:rsidR="00C219DC">
              <w:rPr>
                <w:sz w:val="22"/>
                <w:szCs w:val="22"/>
              </w:rPr>
              <w:t xml:space="preserve"> Yet through accepted UPR recommendations –including on IHL - country based related actions/advocacy by various national/international actors are possible.</w:t>
            </w:r>
          </w:p>
        </w:tc>
      </w:tr>
      <w:tr w:rsidR="00DA5E49" w:rsidRPr="0037602B" w14:paraId="6D731D7F" w14:textId="77777777" w:rsidTr="003A45D0">
        <w:trPr>
          <w:trHeight w:val="67"/>
        </w:trPr>
        <w:tc>
          <w:tcPr>
            <w:tcW w:w="3539" w:type="dxa"/>
          </w:tcPr>
          <w:p w14:paraId="359485CF" w14:textId="77777777" w:rsidR="00DA5E49" w:rsidRPr="0037602B" w:rsidRDefault="00DA5E49" w:rsidP="003A45D0">
            <w:pPr>
              <w:spacing w:before="60" w:after="60"/>
            </w:pPr>
            <w:r w:rsidRPr="0037602B">
              <w:rPr>
                <w:sz w:val="22"/>
                <w:szCs w:val="22"/>
              </w:rPr>
              <w:t>Who makes the recommendations and to whom?</w:t>
            </w:r>
          </w:p>
        </w:tc>
        <w:tc>
          <w:tcPr>
            <w:tcW w:w="10940" w:type="dxa"/>
          </w:tcPr>
          <w:p w14:paraId="1DDE1FB5" w14:textId="65C0DA09" w:rsidR="001D3B49" w:rsidRPr="0037602B" w:rsidRDefault="001D3B49" w:rsidP="003A45D0">
            <w:pPr>
              <w:spacing w:before="60" w:after="60"/>
              <w:ind w:left="283"/>
            </w:pPr>
            <w:r>
              <w:rPr>
                <w:sz w:val="22"/>
                <w:szCs w:val="22"/>
              </w:rPr>
              <w:t>States to States, yet informed by two documents reflecting finding from the UN system, OHCHR, Treaty Bodies and Special Procedures, as well as submissions from NHRIs, Regional HR Mechanisms and NGOs.</w:t>
            </w:r>
          </w:p>
        </w:tc>
      </w:tr>
      <w:tr w:rsidR="00DA5E49" w:rsidRPr="0037602B" w14:paraId="3959065E" w14:textId="77777777" w:rsidTr="003A45D0">
        <w:trPr>
          <w:trHeight w:val="67"/>
        </w:trPr>
        <w:tc>
          <w:tcPr>
            <w:tcW w:w="3539" w:type="dxa"/>
          </w:tcPr>
          <w:p w14:paraId="743F7A8F" w14:textId="77777777" w:rsidR="00DA5E49" w:rsidRPr="0037602B" w:rsidRDefault="00DA5E49" w:rsidP="003A45D0">
            <w:pPr>
              <w:spacing w:before="60" w:after="60"/>
            </w:pPr>
            <w:r w:rsidRPr="0037602B">
              <w:rPr>
                <w:sz w:val="22"/>
                <w:szCs w:val="22"/>
              </w:rPr>
              <w:t>What type of impact do they produce?</w:t>
            </w:r>
          </w:p>
        </w:tc>
        <w:tc>
          <w:tcPr>
            <w:tcW w:w="10940" w:type="dxa"/>
          </w:tcPr>
          <w:p w14:paraId="424DAFAB" w14:textId="61C0D209" w:rsidR="00DA5E49" w:rsidRPr="00820CC3" w:rsidRDefault="00DA5E49" w:rsidP="003A45D0">
            <w:pPr>
              <w:spacing w:before="60" w:after="60"/>
              <w:ind w:left="283"/>
            </w:pPr>
            <w:r w:rsidRPr="0037602B">
              <w:rPr>
                <w:sz w:val="22"/>
                <w:szCs w:val="22"/>
              </w:rPr>
              <w:t xml:space="preserve">Political. </w:t>
            </w:r>
            <w:r w:rsidR="0037602B" w:rsidRPr="0037602B">
              <w:rPr>
                <w:sz w:val="22"/>
                <w:szCs w:val="22"/>
              </w:rPr>
              <w:t xml:space="preserve">States choose to </w:t>
            </w:r>
            <w:r w:rsidR="00820CC3">
              <w:rPr>
                <w:sz w:val="22"/>
                <w:szCs w:val="22"/>
              </w:rPr>
              <w:t>support</w:t>
            </w:r>
            <w:r w:rsidR="0037602B" w:rsidRPr="0037602B">
              <w:rPr>
                <w:sz w:val="22"/>
                <w:szCs w:val="22"/>
              </w:rPr>
              <w:t xml:space="preserve"> recommendations or to simply note them</w:t>
            </w:r>
            <w:r w:rsidR="0037602B" w:rsidRPr="0037602B">
              <w:rPr>
                <w:sz w:val="22"/>
                <w:szCs w:val="22"/>
                <w:lang w:val="en-US"/>
              </w:rPr>
              <w:t xml:space="preserve">. </w:t>
            </w:r>
            <w:r w:rsidR="0037602B" w:rsidRPr="0037602B">
              <w:rPr>
                <w:sz w:val="22"/>
                <w:szCs w:val="22"/>
              </w:rPr>
              <w:t xml:space="preserve">If a State </w:t>
            </w:r>
            <w:r w:rsidR="00820CC3">
              <w:rPr>
                <w:sz w:val="22"/>
                <w:szCs w:val="22"/>
              </w:rPr>
              <w:t>supports</w:t>
            </w:r>
            <w:r w:rsidR="0037602B" w:rsidRPr="0037602B">
              <w:rPr>
                <w:sz w:val="22"/>
                <w:szCs w:val="22"/>
              </w:rPr>
              <w:t xml:space="preserve"> a recommendation, that political commitment can be used to </w:t>
            </w:r>
            <w:r w:rsidR="00820CC3">
              <w:rPr>
                <w:sz w:val="22"/>
                <w:szCs w:val="22"/>
              </w:rPr>
              <w:t>encourage</w:t>
            </w:r>
            <w:r w:rsidR="0037602B" w:rsidRPr="0037602B">
              <w:rPr>
                <w:sz w:val="22"/>
                <w:szCs w:val="22"/>
              </w:rPr>
              <w:t xml:space="preserve"> them to act.</w:t>
            </w:r>
            <w:r w:rsidR="00820CC3">
              <w:rPr>
                <w:sz w:val="22"/>
                <w:szCs w:val="22"/>
              </w:rPr>
              <w:t xml:space="preserve"> States and other stakeholders can offer support to the concerned States in implementing their supported recommendations. </w:t>
            </w:r>
            <w:r w:rsidR="006B0B60" w:rsidRPr="001D3B49">
              <w:rPr>
                <w:sz w:val="22"/>
                <w:szCs w:val="22"/>
              </w:rPr>
              <w:t>The value of these commitments is impacted by the State’s willingness to implement them. The means by which clusters engage with the UPR process and follow up on its outcomes may vary accordingly</w:t>
            </w:r>
            <w:r w:rsidR="001D3B49">
              <w:rPr>
                <w:sz w:val="22"/>
                <w:szCs w:val="22"/>
              </w:rPr>
              <w:t>.</w:t>
            </w:r>
          </w:p>
        </w:tc>
      </w:tr>
      <w:tr w:rsidR="00DA5E49" w:rsidRPr="0037602B" w14:paraId="1B911A90" w14:textId="77777777" w:rsidTr="003A45D0">
        <w:trPr>
          <w:trHeight w:val="67"/>
        </w:trPr>
        <w:tc>
          <w:tcPr>
            <w:tcW w:w="3539" w:type="dxa"/>
          </w:tcPr>
          <w:p w14:paraId="2756166C" w14:textId="77777777" w:rsidR="00DA5E49" w:rsidRPr="0037602B" w:rsidRDefault="00DA5E49" w:rsidP="003A45D0">
            <w:pPr>
              <w:spacing w:before="60" w:after="60"/>
            </w:pPr>
            <w:r w:rsidRPr="0037602B">
              <w:rPr>
                <w:sz w:val="22"/>
                <w:szCs w:val="22"/>
              </w:rPr>
              <w:lastRenderedPageBreak/>
              <w:t>How quickly does it react?</w:t>
            </w:r>
          </w:p>
        </w:tc>
        <w:tc>
          <w:tcPr>
            <w:tcW w:w="10940" w:type="dxa"/>
          </w:tcPr>
          <w:p w14:paraId="2CA6F1A5" w14:textId="0E73C425" w:rsidR="00DA5E49" w:rsidRPr="0037602B" w:rsidRDefault="00D0187F" w:rsidP="003A45D0">
            <w:pPr>
              <w:spacing w:before="60" w:after="60"/>
              <w:ind w:left="283"/>
            </w:pPr>
            <w:r>
              <w:rPr>
                <w:sz w:val="22"/>
                <w:szCs w:val="22"/>
              </w:rPr>
              <w:t>National coordination mechanisms ensure follow up action through the regular/predictable cycle of 4.5/5 years.</w:t>
            </w:r>
          </w:p>
        </w:tc>
      </w:tr>
      <w:tr w:rsidR="00DA5E49" w:rsidRPr="0037602B" w14:paraId="14B91EAE" w14:textId="77777777" w:rsidTr="003A45D0">
        <w:trPr>
          <w:trHeight w:val="67"/>
        </w:trPr>
        <w:tc>
          <w:tcPr>
            <w:tcW w:w="3539" w:type="dxa"/>
          </w:tcPr>
          <w:p w14:paraId="28B4D510" w14:textId="77777777" w:rsidR="00DA5E49" w:rsidRPr="0037602B" w:rsidRDefault="00DA5E49" w:rsidP="003A45D0">
            <w:pPr>
              <w:spacing w:before="60" w:after="60"/>
            </w:pPr>
            <w:r w:rsidRPr="0037602B">
              <w:rPr>
                <w:sz w:val="22"/>
                <w:szCs w:val="22"/>
              </w:rPr>
              <w:t>How accessible is it?</w:t>
            </w:r>
          </w:p>
        </w:tc>
        <w:tc>
          <w:tcPr>
            <w:tcW w:w="10940" w:type="dxa"/>
          </w:tcPr>
          <w:p w14:paraId="3C5E9CFB" w14:textId="5D9FC823" w:rsidR="00DA5E49" w:rsidRPr="0037602B" w:rsidRDefault="0037602B" w:rsidP="003A45D0">
            <w:pPr>
              <w:spacing w:before="60" w:after="60"/>
              <w:ind w:left="283"/>
            </w:pPr>
            <w:r w:rsidRPr="0037602B">
              <w:rPr>
                <w:sz w:val="22"/>
                <w:szCs w:val="22"/>
              </w:rPr>
              <w:t>Very: any organization can engage by submitting</w:t>
            </w:r>
            <w:r w:rsidR="00875801">
              <w:rPr>
                <w:sz w:val="22"/>
                <w:szCs w:val="22"/>
              </w:rPr>
              <w:t xml:space="preserve"> written</w:t>
            </w:r>
            <w:r w:rsidRPr="0037602B">
              <w:rPr>
                <w:sz w:val="22"/>
                <w:szCs w:val="22"/>
              </w:rPr>
              <w:t xml:space="preserve"> information </w:t>
            </w:r>
            <w:r w:rsidR="00875801">
              <w:rPr>
                <w:sz w:val="22"/>
                <w:szCs w:val="22"/>
              </w:rPr>
              <w:t xml:space="preserve">to the process </w:t>
            </w:r>
            <w:r w:rsidRPr="0037602B">
              <w:rPr>
                <w:sz w:val="22"/>
                <w:szCs w:val="22"/>
              </w:rPr>
              <w:t>and lobbying</w:t>
            </w:r>
            <w:r w:rsidR="00BA666A">
              <w:rPr>
                <w:sz w:val="22"/>
                <w:szCs w:val="22"/>
              </w:rPr>
              <w:t>/advocating with</w:t>
            </w:r>
            <w:r w:rsidRPr="0037602B">
              <w:rPr>
                <w:sz w:val="22"/>
                <w:szCs w:val="22"/>
              </w:rPr>
              <w:t xml:space="preserve"> States</w:t>
            </w:r>
            <w:r w:rsidR="00DA5E49" w:rsidRPr="0037602B">
              <w:rPr>
                <w:sz w:val="22"/>
                <w:szCs w:val="22"/>
              </w:rPr>
              <w:t>.</w:t>
            </w:r>
            <w:r w:rsidR="00121812">
              <w:rPr>
                <w:sz w:val="22"/>
                <w:szCs w:val="22"/>
              </w:rPr>
              <w:t xml:space="preserve"> </w:t>
            </w:r>
            <w:r w:rsidR="00810AAC">
              <w:rPr>
                <w:sz w:val="22"/>
                <w:szCs w:val="22"/>
              </w:rPr>
              <w:t>S</w:t>
            </w:r>
            <w:r w:rsidR="00577A1D" w:rsidRPr="0048740B">
              <w:rPr>
                <w:sz w:val="22"/>
                <w:szCs w:val="22"/>
              </w:rPr>
              <w:t xml:space="preserve">takeholders </w:t>
            </w:r>
            <w:r w:rsidR="00DE220F" w:rsidRPr="0048740B">
              <w:rPr>
                <w:sz w:val="22"/>
                <w:szCs w:val="22"/>
              </w:rPr>
              <w:t xml:space="preserve">may also be able to deliver </w:t>
            </w:r>
            <w:r w:rsidR="00810AAC" w:rsidRPr="0048740B">
              <w:rPr>
                <w:sz w:val="22"/>
                <w:szCs w:val="22"/>
              </w:rPr>
              <w:t xml:space="preserve">or submit written/video </w:t>
            </w:r>
            <w:r w:rsidR="00DE220F" w:rsidRPr="0048740B">
              <w:rPr>
                <w:sz w:val="22"/>
                <w:szCs w:val="22"/>
              </w:rPr>
              <w:t>statements at the adoption of UPR reports at the HRC</w:t>
            </w:r>
            <w:r w:rsidR="00577A1D" w:rsidRPr="0048740B">
              <w:rPr>
                <w:sz w:val="22"/>
                <w:szCs w:val="22"/>
              </w:rPr>
              <w:t>.</w:t>
            </w:r>
            <w:r w:rsidR="006C0019">
              <w:rPr>
                <w:rFonts w:asciiTheme="majorHAnsi" w:hAnsiTheme="majorHAnsi" w:cstheme="majorHAnsi"/>
                <w:sz w:val="22"/>
                <w:szCs w:val="22"/>
              </w:rPr>
              <w:t xml:space="preserve"> </w:t>
            </w:r>
          </w:p>
        </w:tc>
      </w:tr>
    </w:tbl>
    <w:p w14:paraId="577FAE05" w14:textId="77777777" w:rsidR="003A45D0" w:rsidRPr="0037602B" w:rsidRDefault="003A45D0">
      <w:pPr>
        <w:rPr>
          <w:sz w:val="22"/>
          <w:szCs w:val="22"/>
        </w:rPr>
      </w:pPr>
    </w:p>
    <w:tbl>
      <w:tblPr>
        <w:tblStyle w:val="TableGrid"/>
        <w:tblW w:w="14479" w:type="dxa"/>
        <w:tblBorders>
          <w:insideH w:val="none" w:sz="0" w:space="0" w:color="auto"/>
          <w:insideV w:val="none" w:sz="0" w:space="0" w:color="auto"/>
        </w:tblBorders>
        <w:tblLook w:val="04A0" w:firstRow="1" w:lastRow="0" w:firstColumn="1" w:lastColumn="0" w:noHBand="0" w:noVBand="1"/>
      </w:tblPr>
      <w:tblGrid>
        <w:gridCol w:w="3539"/>
        <w:gridCol w:w="10940"/>
      </w:tblGrid>
      <w:tr w:rsidR="00DA5E49" w:rsidRPr="0037602B" w14:paraId="03AD3705" w14:textId="77777777" w:rsidTr="003A45D0">
        <w:trPr>
          <w:trHeight w:val="67"/>
        </w:trPr>
        <w:tc>
          <w:tcPr>
            <w:tcW w:w="14479" w:type="dxa"/>
            <w:gridSpan w:val="2"/>
            <w:tcBorders>
              <w:bottom w:val="nil"/>
            </w:tcBorders>
            <w:shd w:val="clear" w:color="auto" w:fill="FFC000" w:themeFill="accent4"/>
          </w:tcPr>
          <w:p w14:paraId="2C779C20" w14:textId="2BCF6E4C" w:rsidR="00DA5E49" w:rsidRPr="0037602B" w:rsidRDefault="001804C5" w:rsidP="003A45D0">
            <w:pPr>
              <w:spacing w:before="60" w:after="60"/>
              <w:rPr>
                <w:b/>
                <w:bCs/>
              </w:rPr>
            </w:pPr>
            <w:r>
              <w:rPr>
                <w:b/>
                <w:bCs/>
              </w:rPr>
              <w:t>Advocacy impact</w:t>
            </w:r>
          </w:p>
        </w:tc>
      </w:tr>
      <w:tr w:rsidR="00DA5E49" w:rsidRPr="0037602B" w14:paraId="6F62A0FC" w14:textId="77777777" w:rsidTr="003A45D0">
        <w:trPr>
          <w:trHeight w:val="67"/>
        </w:trPr>
        <w:tc>
          <w:tcPr>
            <w:tcW w:w="3539" w:type="dxa"/>
            <w:tcBorders>
              <w:top w:val="nil"/>
              <w:bottom w:val="dotted" w:sz="4" w:space="0" w:color="auto"/>
            </w:tcBorders>
          </w:tcPr>
          <w:p w14:paraId="47CF6EF5" w14:textId="77777777" w:rsidR="00DA5E49" w:rsidRPr="0037602B" w:rsidRDefault="00DA5E49" w:rsidP="003A45D0">
            <w:pPr>
              <w:spacing w:before="60" w:after="60"/>
            </w:pPr>
            <w:r w:rsidRPr="0037602B">
              <w:rPr>
                <w:sz w:val="22"/>
                <w:szCs w:val="22"/>
              </w:rPr>
              <w:t>Immediate advocacy</w:t>
            </w:r>
          </w:p>
        </w:tc>
        <w:tc>
          <w:tcPr>
            <w:tcW w:w="10940" w:type="dxa"/>
            <w:tcBorders>
              <w:top w:val="nil"/>
              <w:bottom w:val="dotted" w:sz="4" w:space="0" w:color="auto"/>
            </w:tcBorders>
          </w:tcPr>
          <w:p w14:paraId="7BE08531" w14:textId="78595BA2" w:rsidR="00764704" w:rsidRPr="0037602B" w:rsidRDefault="00764704" w:rsidP="003A45D0">
            <w:pPr>
              <w:spacing w:before="60" w:after="60"/>
              <w:ind w:left="283"/>
            </w:pPr>
            <w:r>
              <w:rPr>
                <w:sz w:val="22"/>
                <w:szCs w:val="22"/>
              </w:rPr>
              <w:t>The UPR is not a suitable tool for addressing urgent individual cases although, if the political will is there, immediate action can follow to implement UPR recommendations e.g. on ending capital punishment; setting up a NPM or an A status NHRI, reforming laws/practices in line with international human rights norms.</w:t>
            </w:r>
          </w:p>
        </w:tc>
      </w:tr>
      <w:tr w:rsidR="00DA5E49" w:rsidRPr="0037602B" w14:paraId="0E13AACC" w14:textId="77777777" w:rsidTr="003A45D0">
        <w:trPr>
          <w:trHeight w:val="67"/>
        </w:trPr>
        <w:tc>
          <w:tcPr>
            <w:tcW w:w="3539" w:type="dxa"/>
            <w:tcBorders>
              <w:top w:val="dotted" w:sz="4" w:space="0" w:color="auto"/>
              <w:bottom w:val="dotted" w:sz="4" w:space="0" w:color="auto"/>
            </w:tcBorders>
          </w:tcPr>
          <w:p w14:paraId="35C6CAE0" w14:textId="77777777" w:rsidR="00DA5E49" w:rsidRPr="0037602B" w:rsidRDefault="00DA5E49" w:rsidP="003A45D0">
            <w:pPr>
              <w:spacing w:before="60" w:after="60"/>
            </w:pPr>
            <w:r w:rsidRPr="0037602B">
              <w:rPr>
                <w:sz w:val="22"/>
                <w:szCs w:val="22"/>
              </w:rPr>
              <w:t>Medium-term advocacy</w:t>
            </w:r>
          </w:p>
        </w:tc>
        <w:tc>
          <w:tcPr>
            <w:tcW w:w="10940" w:type="dxa"/>
            <w:tcBorders>
              <w:top w:val="dotted" w:sz="4" w:space="0" w:color="auto"/>
              <w:bottom w:val="dotted" w:sz="4" w:space="0" w:color="auto"/>
            </w:tcBorders>
          </w:tcPr>
          <w:p w14:paraId="2661B96F" w14:textId="0E3D743F" w:rsidR="00DA5E49" w:rsidRPr="0037602B" w:rsidRDefault="0037602B" w:rsidP="0037602B">
            <w:pPr>
              <w:spacing w:before="60" w:after="60"/>
              <w:ind w:left="283"/>
              <w:rPr>
                <w:b/>
                <w:bCs/>
                <w:sz w:val="22"/>
                <w:szCs w:val="22"/>
              </w:rPr>
            </w:pPr>
            <w:r w:rsidRPr="0037602B">
              <w:rPr>
                <w:sz w:val="22"/>
                <w:szCs w:val="22"/>
              </w:rPr>
              <w:t xml:space="preserve">The UPR is </w:t>
            </w:r>
            <w:r w:rsidR="007F3A22">
              <w:rPr>
                <w:sz w:val="22"/>
                <w:szCs w:val="22"/>
              </w:rPr>
              <w:t xml:space="preserve">the UN human rights </w:t>
            </w:r>
            <w:r w:rsidRPr="0037602B">
              <w:rPr>
                <w:sz w:val="22"/>
                <w:szCs w:val="22"/>
              </w:rPr>
              <w:t xml:space="preserve">mechanism with the highest profile. All UN member states go through the UPR process. The process for providing submissions and other means of engagement typically begins 1-1.5 years before a State’s session takes place. </w:t>
            </w:r>
            <w:r>
              <w:rPr>
                <w:sz w:val="22"/>
                <w:szCs w:val="22"/>
              </w:rPr>
              <w:t>It c</w:t>
            </w:r>
            <w:r w:rsidRPr="0037602B">
              <w:rPr>
                <w:sz w:val="22"/>
                <w:szCs w:val="22"/>
              </w:rPr>
              <w:t xml:space="preserve">an be an opportunity </w:t>
            </w:r>
            <w:r>
              <w:rPr>
                <w:sz w:val="22"/>
                <w:szCs w:val="22"/>
              </w:rPr>
              <w:t>for humanitarian actors to</w:t>
            </w:r>
            <w:r w:rsidRPr="0037602B">
              <w:rPr>
                <w:sz w:val="22"/>
                <w:szCs w:val="22"/>
              </w:rPr>
              <w:t xml:space="preserve"> raise protection issues on visible public platform, while also having channels for confidential advocacy directly with States on sensitive issues. States are expected to report on their implementation of supported recommendations in subsequent cycles.</w:t>
            </w:r>
            <w:r w:rsidRPr="0037602B">
              <w:rPr>
                <w:b/>
                <w:bCs/>
                <w:sz w:val="22"/>
                <w:szCs w:val="22"/>
              </w:rPr>
              <w:t xml:space="preserve"> </w:t>
            </w:r>
          </w:p>
        </w:tc>
      </w:tr>
      <w:tr w:rsidR="00DA5E49" w:rsidRPr="0037602B" w14:paraId="643FE02F" w14:textId="77777777" w:rsidTr="003A45D0">
        <w:trPr>
          <w:trHeight w:val="67"/>
        </w:trPr>
        <w:tc>
          <w:tcPr>
            <w:tcW w:w="3539" w:type="dxa"/>
            <w:tcBorders>
              <w:top w:val="dotted" w:sz="4" w:space="0" w:color="auto"/>
              <w:bottom w:val="single" w:sz="4" w:space="0" w:color="auto"/>
            </w:tcBorders>
          </w:tcPr>
          <w:p w14:paraId="238C14ED" w14:textId="77777777" w:rsidR="00DA5E49" w:rsidRPr="0037602B" w:rsidRDefault="00DA5E49" w:rsidP="003A45D0">
            <w:pPr>
              <w:spacing w:before="60" w:after="60"/>
            </w:pPr>
            <w:r w:rsidRPr="0037602B">
              <w:rPr>
                <w:sz w:val="22"/>
                <w:szCs w:val="22"/>
              </w:rPr>
              <w:t>Long-term advocacy</w:t>
            </w:r>
          </w:p>
        </w:tc>
        <w:tc>
          <w:tcPr>
            <w:tcW w:w="10940" w:type="dxa"/>
            <w:tcBorders>
              <w:top w:val="dotted" w:sz="4" w:space="0" w:color="auto"/>
              <w:bottom w:val="single" w:sz="4" w:space="0" w:color="auto"/>
            </w:tcBorders>
          </w:tcPr>
          <w:p w14:paraId="500B8025" w14:textId="656203D8" w:rsidR="00DA5E49" w:rsidRPr="0037602B" w:rsidRDefault="0037602B" w:rsidP="0037602B">
            <w:pPr>
              <w:spacing w:before="60" w:after="60"/>
              <w:ind w:left="283"/>
              <w:rPr>
                <w:sz w:val="22"/>
                <w:szCs w:val="22"/>
              </w:rPr>
            </w:pPr>
            <w:r>
              <w:rPr>
                <w:sz w:val="22"/>
                <w:szCs w:val="22"/>
              </w:rPr>
              <w:t>Humanitarian actors can</w:t>
            </w:r>
            <w:r w:rsidRPr="0037602B">
              <w:rPr>
                <w:sz w:val="22"/>
                <w:szCs w:val="22"/>
              </w:rPr>
              <w:t xml:space="preserve"> draw on past</w:t>
            </w:r>
            <w:r>
              <w:rPr>
                <w:sz w:val="22"/>
                <w:szCs w:val="22"/>
              </w:rPr>
              <w:t xml:space="preserve"> UPR</w:t>
            </w:r>
            <w:r w:rsidRPr="0037602B">
              <w:rPr>
                <w:sz w:val="22"/>
                <w:szCs w:val="22"/>
              </w:rPr>
              <w:t xml:space="preserve"> recommendations for implementation, without the need for new reports/submissions</w:t>
            </w:r>
            <w:r w:rsidRPr="0037602B">
              <w:rPr>
                <w:sz w:val="22"/>
                <w:szCs w:val="22"/>
                <w:lang w:val="en-US"/>
              </w:rPr>
              <w:t>. The</w:t>
            </w:r>
            <w:r>
              <w:rPr>
                <w:sz w:val="22"/>
                <w:szCs w:val="22"/>
                <w:lang w:val="en-US"/>
              </w:rPr>
              <w:t xml:space="preserve"> UPR cycle leng</w:t>
            </w:r>
            <w:r w:rsidR="00320379">
              <w:rPr>
                <w:sz w:val="22"/>
                <w:szCs w:val="22"/>
                <w:lang w:val="en-US"/>
              </w:rPr>
              <w:t>th and duration</w:t>
            </w:r>
            <w:r w:rsidRPr="0037602B">
              <w:rPr>
                <w:sz w:val="22"/>
                <w:szCs w:val="22"/>
              </w:rPr>
              <w:t xml:space="preserve"> allows for engagement to be planned in greater detail so as to maximize impact</w:t>
            </w:r>
            <w:r w:rsidRPr="0037602B">
              <w:rPr>
                <w:sz w:val="22"/>
                <w:szCs w:val="22"/>
                <w:lang w:val="en-US"/>
              </w:rPr>
              <w:t xml:space="preserve">. </w:t>
            </w:r>
          </w:p>
        </w:tc>
      </w:tr>
    </w:tbl>
    <w:p w14:paraId="5843E755" w14:textId="77777777" w:rsidR="003A45D0" w:rsidRPr="0037602B" w:rsidRDefault="003A45D0">
      <w:pPr>
        <w:rPr>
          <w:sz w:val="22"/>
          <w:szCs w:val="22"/>
        </w:rPr>
      </w:pPr>
    </w:p>
    <w:tbl>
      <w:tblPr>
        <w:tblStyle w:val="TableGrid"/>
        <w:tblW w:w="14479" w:type="dxa"/>
        <w:tblBorders>
          <w:insideH w:val="none" w:sz="0" w:space="0" w:color="auto"/>
          <w:insideV w:val="none" w:sz="0" w:space="0" w:color="auto"/>
        </w:tblBorders>
        <w:tblLook w:val="04A0" w:firstRow="1" w:lastRow="0" w:firstColumn="1" w:lastColumn="0" w:noHBand="0" w:noVBand="1"/>
      </w:tblPr>
      <w:tblGrid>
        <w:gridCol w:w="14085"/>
        <w:gridCol w:w="369"/>
        <w:gridCol w:w="25"/>
      </w:tblGrid>
      <w:tr w:rsidR="00DA5E49" w:rsidRPr="0037602B" w14:paraId="402166EE" w14:textId="77777777" w:rsidTr="19DC0FDE">
        <w:trPr>
          <w:trHeight w:val="67"/>
        </w:trPr>
        <w:tc>
          <w:tcPr>
            <w:tcW w:w="14479" w:type="dxa"/>
            <w:gridSpan w:val="3"/>
            <w:tcBorders>
              <w:bottom w:val="nil"/>
            </w:tcBorders>
            <w:shd w:val="clear" w:color="auto" w:fill="70AD47" w:themeFill="accent6"/>
          </w:tcPr>
          <w:p w14:paraId="6E835A05" w14:textId="259F25A2" w:rsidR="00DA5E49" w:rsidRPr="0037602B" w:rsidRDefault="00DA5E49" w:rsidP="003A45D0">
            <w:pPr>
              <w:spacing w:before="60" w:after="60"/>
              <w:rPr>
                <w:b/>
                <w:bCs/>
              </w:rPr>
            </w:pPr>
            <w:r w:rsidRPr="0037602B">
              <w:rPr>
                <w:b/>
                <w:bCs/>
              </w:rPr>
              <w:t>How can the protection cluster engage?</w:t>
            </w:r>
          </w:p>
        </w:tc>
      </w:tr>
      <w:tr w:rsidR="00DA5E49" w:rsidRPr="0037602B" w14:paraId="3CAAFFE0" w14:textId="77777777" w:rsidTr="19DC0FDE">
        <w:trPr>
          <w:trHeight w:val="67"/>
        </w:trPr>
        <w:tc>
          <w:tcPr>
            <w:tcW w:w="14085" w:type="dxa"/>
            <w:tcBorders>
              <w:top w:val="nil"/>
              <w:bottom w:val="nil"/>
            </w:tcBorders>
          </w:tcPr>
          <w:p w14:paraId="6CE0309F" w14:textId="7F3DC284" w:rsidR="00DA5E49" w:rsidRPr="0037602B" w:rsidRDefault="00DA5E49" w:rsidP="19DC0FDE">
            <w:pPr>
              <w:spacing w:before="60" w:after="60"/>
              <w:jc w:val="center"/>
              <w:rPr>
                <w:i/>
                <w:iCs/>
              </w:rPr>
            </w:pPr>
            <w:r w:rsidRPr="19DC0FDE">
              <w:rPr>
                <w:i/>
                <w:iCs/>
                <w:sz w:val="22"/>
                <w:szCs w:val="22"/>
              </w:rPr>
              <w:t>Potential action</w:t>
            </w:r>
            <w:r w:rsidR="186F4CFF" w:rsidRPr="19DC0FDE">
              <w:rPr>
                <w:i/>
                <w:iCs/>
                <w:sz w:val="22"/>
                <w:szCs w:val="22"/>
              </w:rPr>
              <w:t>s</w:t>
            </w:r>
            <w:r w:rsidR="00A632B8">
              <w:rPr>
                <w:i/>
                <w:iCs/>
                <w:sz w:val="22"/>
                <w:szCs w:val="22"/>
              </w:rPr>
              <w:t xml:space="preserve"> </w:t>
            </w:r>
            <w:r w:rsidR="00A632B8">
              <w:rPr>
                <w:rFonts w:asciiTheme="majorHAnsi" w:hAnsiTheme="majorHAnsi" w:cstheme="majorHAnsi"/>
                <w:i/>
                <w:iCs/>
                <w:sz w:val="22"/>
                <w:szCs w:val="22"/>
              </w:rPr>
              <w:t>(direct, indirect, or in collaboration with other entities)</w:t>
            </w:r>
          </w:p>
        </w:tc>
        <w:tc>
          <w:tcPr>
            <w:tcW w:w="394" w:type="dxa"/>
            <w:gridSpan w:val="2"/>
            <w:tcBorders>
              <w:top w:val="nil"/>
              <w:bottom w:val="nil"/>
            </w:tcBorders>
          </w:tcPr>
          <w:p w14:paraId="6FB638B9" w14:textId="48C58214" w:rsidR="00DA5E49" w:rsidRPr="0037602B" w:rsidRDefault="00DA5E49" w:rsidP="19DC0FDE">
            <w:pPr>
              <w:spacing w:before="60" w:after="60"/>
              <w:ind w:left="283"/>
              <w:jc w:val="center"/>
              <w:rPr>
                <w:i/>
                <w:iCs/>
                <w:sz w:val="22"/>
                <w:szCs w:val="22"/>
              </w:rPr>
            </w:pPr>
          </w:p>
        </w:tc>
      </w:tr>
      <w:tr w:rsidR="00DA5E49" w:rsidRPr="0037602B" w14:paraId="1D25484C" w14:textId="77777777" w:rsidTr="19DC0FDE">
        <w:trPr>
          <w:trHeight w:val="67"/>
        </w:trPr>
        <w:tc>
          <w:tcPr>
            <w:tcW w:w="14085" w:type="dxa"/>
            <w:tcBorders>
              <w:top w:val="nil"/>
              <w:bottom w:val="dotted" w:sz="4" w:space="0" w:color="auto"/>
            </w:tcBorders>
          </w:tcPr>
          <w:p w14:paraId="24215D3E" w14:textId="705886B7" w:rsidR="00DA5E49" w:rsidRPr="0037602B" w:rsidRDefault="2C383274" w:rsidP="00CB70A4">
            <w:pPr>
              <w:pStyle w:val="ListParagraph"/>
              <w:numPr>
                <w:ilvl w:val="0"/>
                <w:numId w:val="4"/>
              </w:numPr>
              <w:spacing w:before="60" w:after="60"/>
              <w:ind w:left="337" w:hanging="337"/>
              <w:rPr>
                <w:sz w:val="22"/>
                <w:szCs w:val="22"/>
              </w:rPr>
            </w:pPr>
            <w:r w:rsidRPr="19DC0FDE">
              <w:rPr>
                <w:sz w:val="22"/>
                <w:szCs w:val="22"/>
              </w:rPr>
              <w:t>Stay updated when the country of operation is upcoming for review and share the information with PC members</w:t>
            </w:r>
          </w:p>
        </w:tc>
        <w:tc>
          <w:tcPr>
            <w:tcW w:w="394" w:type="dxa"/>
            <w:gridSpan w:val="2"/>
            <w:tcBorders>
              <w:top w:val="nil"/>
              <w:bottom w:val="dotted" w:sz="4" w:space="0" w:color="auto"/>
            </w:tcBorders>
          </w:tcPr>
          <w:p w14:paraId="2F02E559" w14:textId="68374ADF" w:rsidR="00DA5E49" w:rsidRPr="0037602B" w:rsidRDefault="00DA5E49" w:rsidP="003A45D0">
            <w:pPr>
              <w:spacing w:before="60" w:after="60"/>
              <w:ind w:left="283"/>
            </w:pPr>
          </w:p>
        </w:tc>
      </w:tr>
      <w:tr w:rsidR="00DA5E49" w:rsidRPr="0037602B" w14:paraId="1F9C75E1" w14:textId="77777777" w:rsidTr="19DC0FDE">
        <w:trPr>
          <w:trHeight w:val="67"/>
        </w:trPr>
        <w:tc>
          <w:tcPr>
            <w:tcW w:w="14085" w:type="dxa"/>
            <w:tcBorders>
              <w:top w:val="dotted" w:sz="4" w:space="0" w:color="auto"/>
              <w:bottom w:val="dotted" w:sz="4" w:space="0" w:color="auto"/>
            </w:tcBorders>
          </w:tcPr>
          <w:p w14:paraId="7C1E7E23" w14:textId="39339556" w:rsidR="00DA5E49" w:rsidRPr="0037602B" w:rsidRDefault="2C383274" w:rsidP="00CB70A4">
            <w:pPr>
              <w:pStyle w:val="ListParagraph"/>
              <w:numPr>
                <w:ilvl w:val="0"/>
                <w:numId w:val="4"/>
              </w:numPr>
              <w:spacing w:before="60" w:after="60"/>
              <w:ind w:left="337" w:hanging="337"/>
              <w:rPr>
                <w:sz w:val="22"/>
                <w:szCs w:val="22"/>
              </w:rPr>
            </w:pPr>
            <w:r w:rsidRPr="19DC0FDE">
              <w:rPr>
                <w:sz w:val="22"/>
                <w:szCs w:val="22"/>
              </w:rPr>
              <w:t xml:space="preserve">Be familiar with processes on how </w:t>
            </w:r>
            <w:r w:rsidR="006B0B60">
              <w:rPr>
                <w:sz w:val="22"/>
                <w:szCs w:val="22"/>
              </w:rPr>
              <w:t>protection cluster</w:t>
            </w:r>
            <w:r w:rsidR="006B0B60" w:rsidRPr="19DC0FDE">
              <w:rPr>
                <w:sz w:val="22"/>
                <w:szCs w:val="22"/>
              </w:rPr>
              <w:t xml:space="preserve"> </w:t>
            </w:r>
            <w:r w:rsidRPr="19DC0FDE">
              <w:rPr>
                <w:sz w:val="22"/>
                <w:szCs w:val="22"/>
              </w:rPr>
              <w:t xml:space="preserve">members can contribute </w:t>
            </w:r>
            <w:r w:rsidR="005C5AA9">
              <w:rPr>
                <w:sz w:val="22"/>
                <w:szCs w:val="22"/>
              </w:rPr>
              <w:t>to the</w:t>
            </w:r>
            <w:r w:rsidRPr="19DC0FDE">
              <w:rPr>
                <w:sz w:val="22"/>
                <w:szCs w:val="22"/>
              </w:rPr>
              <w:t xml:space="preserve"> UPR </w:t>
            </w:r>
            <w:r w:rsidR="005C5AA9">
              <w:rPr>
                <w:sz w:val="22"/>
                <w:szCs w:val="22"/>
              </w:rPr>
              <w:t>process</w:t>
            </w:r>
          </w:p>
        </w:tc>
        <w:tc>
          <w:tcPr>
            <w:tcW w:w="394" w:type="dxa"/>
            <w:gridSpan w:val="2"/>
            <w:tcBorders>
              <w:top w:val="dotted" w:sz="4" w:space="0" w:color="auto"/>
              <w:bottom w:val="dotted" w:sz="4" w:space="0" w:color="auto"/>
            </w:tcBorders>
          </w:tcPr>
          <w:p w14:paraId="38DA091D" w14:textId="77777777" w:rsidR="00DA5E49" w:rsidRPr="0037602B" w:rsidRDefault="00DA5E49" w:rsidP="003A45D0">
            <w:pPr>
              <w:spacing w:before="60" w:after="60"/>
              <w:ind w:left="283"/>
            </w:pPr>
          </w:p>
        </w:tc>
      </w:tr>
      <w:tr w:rsidR="00DA5E49" w:rsidRPr="0037602B" w14:paraId="78054CD9" w14:textId="77777777" w:rsidTr="19DC0FDE">
        <w:trPr>
          <w:trHeight w:val="67"/>
        </w:trPr>
        <w:tc>
          <w:tcPr>
            <w:tcW w:w="14085" w:type="dxa"/>
            <w:tcBorders>
              <w:top w:val="dotted" w:sz="4" w:space="0" w:color="auto"/>
              <w:bottom w:val="dotted" w:sz="4" w:space="0" w:color="auto"/>
            </w:tcBorders>
          </w:tcPr>
          <w:p w14:paraId="018855A0" w14:textId="0AF4C3B6" w:rsidR="00DA5E49" w:rsidRPr="0037602B" w:rsidRDefault="00052789" w:rsidP="00052789">
            <w:pPr>
              <w:pStyle w:val="ListParagraph"/>
              <w:numPr>
                <w:ilvl w:val="0"/>
                <w:numId w:val="4"/>
              </w:numPr>
              <w:spacing w:before="60" w:after="60"/>
              <w:ind w:left="337" w:hanging="337"/>
              <w:rPr>
                <w:sz w:val="22"/>
                <w:szCs w:val="22"/>
              </w:rPr>
            </w:pPr>
            <w:r>
              <w:rPr>
                <w:sz w:val="22"/>
                <w:szCs w:val="22"/>
              </w:rPr>
              <w:t>D</w:t>
            </w:r>
            <w:r w:rsidR="53D08861" w:rsidRPr="19DC0FDE">
              <w:rPr>
                <w:sz w:val="22"/>
                <w:szCs w:val="22"/>
              </w:rPr>
              <w:t xml:space="preserve">eliver a session to </w:t>
            </w:r>
            <w:r w:rsidR="006B0B60">
              <w:rPr>
                <w:sz w:val="22"/>
                <w:szCs w:val="22"/>
              </w:rPr>
              <w:t>protection cluster</w:t>
            </w:r>
            <w:r w:rsidR="006B0B60" w:rsidRPr="19DC0FDE">
              <w:rPr>
                <w:sz w:val="22"/>
                <w:szCs w:val="22"/>
              </w:rPr>
              <w:t xml:space="preserve"> </w:t>
            </w:r>
            <w:r w:rsidR="53D08861" w:rsidRPr="19DC0FDE">
              <w:rPr>
                <w:sz w:val="22"/>
                <w:szCs w:val="22"/>
              </w:rPr>
              <w:t xml:space="preserve">members on </w:t>
            </w:r>
            <w:r w:rsidR="005C5AA9">
              <w:rPr>
                <w:sz w:val="22"/>
                <w:szCs w:val="22"/>
              </w:rPr>
              <w:t xml:space="preserve">the </w:t>
            </w:r>
            <w:r w:rsidR="53D08861" w:rsidRPr="19DC0FDE">
              <w:rPr>
                <w:sz w:val="22"/>
                <w:szCs w:val="22"/>
              </w:rPr>
              <w:t>UPR process (HRE TT can assist as needed)</w:t>
            </w:r>
          </w:p>
        </w:tc>
        <w:tc>
          <w:tcPr>
            <w:tcW w:w="394" w:type="dxa"/>
            <w:gridSpan w:val="2"/>
            <w:tcBorders>
              <w:top w:val="dotted" w:sz="4" w:space="0" w:color="auto"/>
              <w:bottom w:val="dotted" w:sz="4" w:space="0" w:color="auto"/>
            </w:tcBorders>
          </w:tcPr>
          <w:p w14:paraId="309FA839" w14:textId="1CD9A84E" w:rsidR="00DA5E49" w:rsidRPr="0037602B" w:rsidRDefault="00DA5E49" w:rsidP="003A45D0">
            <w:pPr>
              <w:spacing w:before="60" w:after="60"/>
              <w:ind w:left="283"/>
            </w:pPr>
          </w:p>
        </w:tc>
      </w:tr>
      <w:tr w:rsidR="003A45D0" w:rsidRPr="0037602B" w14:paraId="3962E4FF" w14:textId="77777777" w:rsidTr="19DC0FDE">
        <w:trPr>
          <w:trHeight w:val="67"/>
        </w:trPr>
        <w:tc>
          <w:tcPr>
            <w:tcW w:w="14085" w:type="dxa"/>
            <w:tcBorders>
              <w:top w:val="dotted" w:sz="4" w:space="0" w:color="auto"/>
              <w:bottom w:val="dotted" w:sz="4" w:space="0" w:color="auto"/>
            </w:tcBorders>
          </w:tcPr>
          <w:p w14:paraId="7C55DD9A" w14:textId="31E5D2DA" w:rsidR="003A45D0" w:rsidRPr="0037602B" w:rsidRDefault="00052789" w:rsidP="00CB70A4">
            <w:pPr>
              <w:pStyle w:val="ListParagraph"/>
              <w:numPr>
                <w:ilvl w:val="0"/>
                <w:numId w:val="4"/>
              </w:numPr>
              <w:spacing w:before="60" w:after="60"/>
              <w:ind w:left="337" w:hanging="337"/>
              <w:rPr>
                <w:sz w:val="22"/>
                <w:szCs w:val="22"/>
              </w:rPr>
            </w:pPr>
            <w:r>
              <w:rPr>
                <w:sz w:val="22"/>
                <w:szCs w:val="22"/>
              </w:rPr>
              <w:t>C</w:t>
            </w:r>
            <w:r w:rsidR="53D08861" w:rsidRPr="19DC0FDE">
              <w:rPr>
                <w:sz w:val="22"/>
                <w:szCs w:val="22"/>
              </w:rPr>
              <w:t xml:space="preserve">ontribute </w:t>
            </w:r>
            <w:r w:rsidR="005C5AA9">
              <w:rPr>
                <w:sz w:val="22"/>
                <w:szCs w:val="22"/>
              </w:rPr>
              <w:t xml:space="preserve">a written submission </w:t>
            </w:r>
            <w:r w:rsidR="00417166">
              <w:rPr>
                <w:sz w:val="22"/>
                <w:szCs w:val="22"/>
              </w:rPr>
              <w:t>for the</w:t>
            </w:r>
            <w:r w:rsidR="53D08861" w:rsidRPr="19DC0FDE">
              <w:rPr>
                <w:sz w:val="22"/>
                <w:szCs w:val="22"/>
              </w:rPr>
              <w:t xml:space="preserve"> UPR </w:t>
            </w:r>
            <w:r w:rsidR="00417166">
              <w:rPr>
                <w:sz w:val="22"/>
                <w:szCs w:val="22"/>
              </w:rPr>
              <w:t>process</w:t>
            </w:r>
          </w:p>
        </w:tc>
        <w:tc>
          <w:tcPr>
            <w:tcW w:w="394" w:type="dxa"/>
            <w:gridSpan w:val="2"/>
            <w:tcBorders>
              <w:top w:val="dotted" w:sz="4" w:space="0" w:color="auto"/>
              <w:bottom w:val="dotted" w:sz="4" w:space="0" w:color="auto"/>
            </w:tcBorders>
          </w:tcPr>
          <w:p w14:paraId="05236193" w14:textId="77777777" w:rsidR="003A45D0" w:rsidRPr="0037602B" w:rsidRDefault="003A45D0" w:rsidP="003A45D0">
            <w:pPr>
              <w:spacing w:before="60" w:after="60"/>
              <w:ind w:left="283"/>
            </w:pPr>
          </w:p>
        </w:tc>
      </w:tr>
      <w:tr w:rsidR="003A45D0" w:rsidRPr="0037602B" w14:paraId="0348CFE3" w14:textId="77777777" w:rsidTr="19DC0FDE">
        <w:trPr>
          <w:trHeight w:val="67"/>
        </w:trPr>
        <w:tc>
          <w:tcPr>
            <w:tcW w:w="14085" w:type="dxa"/>
            <w:tcBorders>
              <w:top w:val="dotted" w:sz="4" w:space="0" w:color="auto"/>
              <w:bottom w:val="dotted" w:sz="4" w:space="0" w:color="auto"/>
            </w:tcBorders>
          </w:tcPr>
          <w:p w14:paraId="6217E7E5" w14:textId="27EC705F" w:rsidR="003A45D0" w:rsidRPr="0037602B" w:rsidRDefault="008B5AB0" w:rsidP="00FB6C8E">
            <w:pPr>
              <w:pStyle w:val="ListParagraph"/>
              <w:numPr>
                <w:ilvl w:val="0"/>
                <w:numId w:val="4"/>
              </w:numPr>
              <w:spacing w:before="60" w:after="60"/>
              <w:ind w:left="337" w:hanging="337"/>
              <w:rPr>
                <w:sz w:val="22"/>
                <w:szCs w:val="22"/>
              </w:rPr>
            </w:pPr>
            <w:r>
              <w:rPr>
                <w:sz w:val="22"/>
                <w:szCs w:val="22"/>
              </w:rPr>
              <w:lastRenderedPageBreak/>
              <w:t>I</w:t>
            </w:r>
            <w:r w:rsidR="006150EC">
              <w:rPr>
                <w:sz w:val="22"/>
                <w:szCs w:val="22"/>
              </w:rPr>
              <w:t>dentify</w:t>
            </w:r>
            <w:r w:rsidR="00C60514">
              <w:rPr>
                <w:sz w:val="22"/>
                <w:szCs w:val="22"/>
              </w:rPr>
              <w:t xml:space="preserve"> </w:t>
            </w:r>
            <w:r w:rsidR="006150EC">
              <w:rPr>
                <w:sz w:val="22"/>
                <w:szCs w:val="22"/>
              </w:rPr>
              <w:t xml:space="preserve">relevant </w:t>
            </w:r>
            <w:r w:rsidR="3D0579E6" w:rsidRPr="19DC0FDE">
              <w:rPr>
                <w:sz w:val="22"/>
                <w:szCs w:val="22"/>
              </w:rPr>
              <w:t>UPR recommendations</w:t>
            </w:r>
            <w:r w:rsidR="00681291">
              <w:rPr>
                <w:sz w:val="22"/>
                <w:szCs w:val="22"/>
              </w:rPr>
              <w:t xml:space="preserve">, including IHL recommendations, </w:t>
            </w:r>
            <w:r w:rsidR="3D0579E6" w:rsidRPr="19DC0FDE">
              <w:rPr>
                <w:sz w:val="22"/>
                <w:szCs w:val="22"/>
              </w:rPr>
              <w:t xml:space="preserve"> that were </w:t>
            </w:r>
            <w:r w:rsidR="006150EC">
              <w:rPr>
                <w:sz w:val="22"/>
                <w:szCs w:val="22"/>
              </w:rPr>
              <w:t>supported</w:t>
            </w:r>
            <w:r w:rsidR="006150EC" w:rsidRPr="19DC0FDE">
              <w:rPr>
                <w:sz w:val="22"/>
                <w:szCs w:val="22"/>
              </w:rPr>
              <w:t xml:space="preserve"> </w:t>
            </w:r>
            <w:r w:rsidR="3D0579E6" w:rsidRPr="19DC0FDE">
              <w:rPr>
                <w:sz w:val="22"/>
                <w:szCs w:val="22"/>
              </w:rPr>
              <w:t xml:space="preserve">by the </w:t>
            </w:r>
            <w:r w:rsidR="006150EC">
              <w:rPr>
                <w:sz w:val="22"/>
                <w:szCs w:val="22"/>
              </w:rPr>
              <w:t>State during its most recent review, on which the protection cluster can follow up on implementation</w:t>
            </w:r>
          </w:p>
        </w:tc>
        <w:tc>
          <w:tcPr>
            <w:tcW w:w="394" w:type="dxa"/>
            <w:gridSpan w:val="2"/>
            <w:tcBorders>
              <w:top w:val="dotted" w:sz="4" w:space="0" w:color="auto"/>
              <w:bottom w:val="dotted" w:sz="4" w:space="0" w:color="auto"/>
            </w:tcBorders>
          </w:tcPr>
          <w:p w14:paraId="4A283367" w14:textId="77777777" w:rsidR="003A45D0" w:rsidRPr="0037602B" w:rsidRDefault="003A45D0" w:rsidP="003A45D0">
            <w:pPr>
              <w:spacing w:before="60" w:after="60"/>
              <w:ind w:left="283"/>
            </w:pPr>
          </w:p>
        </w:tc>
      </w:tr>
      <w:tr w:rsidR="006150EC" w:rsidRPr="0037602B" w14:paraId="55D4E338" w14:textId="77777777" w:rsidTr="001761BC">
        <w:trPr>
          <w:gridAfter w:val="1"/>
          <w:wAfter w:w="25" w:type="dxa"/>
          <w:trHeight w:val="67"/>
        </w:trPr>
        <w:tc>
          <w:tcPr>
            <w:tcW w:w="14454" w:type="dxa"/>
            <w:gridSpan w:val="2"/>
            <w:tcBorders>
              <w:top w:val="dotted" w:sz="4" w:space="0" w:color="auto"/>
              <w:bottom w:val="dotted" w:sz="4" w:space="0" w:color="auto"/>
            </w:tcBorders>
          </w:tcPr>
          <w:p w14:paraId="3D2F2CC2" w14:textId="343D1A96" w:rsidR="006150EC" w:rsidRPr="0037602B" w:rsidRDefault="006150EC" w:rsidP="000A379D">
            <w:pPr>
              <w:pStyle w:val="ListParagraph"/>
              <w:numPr>
                <w:ilvl w:val="0"/>
                <w:numId w:val="4"/>
              </w:numPr>
              <w:spacing w:before="60" w:after="60"/>
              <w:ind w:left="337" w:hanging="337"/>
              <w:rPr>
                <w:sz w:val="22"/>
                <w:szCs w:val="22"/>
              </w:rPr>
            </w:pPr>
            <w:r>
              <w:rPr>
                <w:sz w:val="22"/>
                <w:szCs w:val="22"/>
              </w:rPr>
              <w:t>Undertake activities to support the implementation of relevant UPR recommendations.</w:t>
            </w:r>
          </w:p>
        </w:tc>
      </w:tr>
      <w:tr w:rsidR="00980DF9" w:rsidRPr="0037602B" w14:paraId="7A0C0138" w14:textId="77777777" w:rsidTr="001761BC">
        <w:trPr>
          <w:gridAfter w:val="1"/>
          <w:wAfter w:w="25" w:type="dxa"/>
          <w:trHeight w:val="67"/>
        </w:trPr>
        <w:tc>
          <w:tcPr>
            <w:tcW w:w="14454" w:type="dxa"/>
            <w:gridSpan w:val="2"/>
            <w:tcBorders>
              <w:top w:val="dotted" w:sz="4" w:space="0" w:color="auto"/>
              <w:bottom w:val="dotted" w:sz="4" w:space="0" w:color="auto"/>
            </w:tcBorders>
          </w:tcPr>
          <w:p w14:paraId="07343CC5" w14:textId="7C219C60" w:rsidR="00980DF9" w:rsidRPr="00980DF9" w:rsidRDefault="00980DF9" w:rsidP="00980DF9">
            <w:pPr>
              <w:spacing w:before="60" w:after="60"/>
              <w:rPr>
                <w:sz w:val="22"/>
                <w:szCs w:val="22"/>
              </w:rPr>
            </w:pPr>
            <w:r>
              <w:rPr>
                <w:sz w:val="22"/>
                <w:szCs w:val="22"/>
              </w:rPr>
              <w:t xml:space="preserve">7. </w:t>
            </w:r>
            <w:r w:rsidRPr="00980DF9">
              <w:rPr>
                <w:sz w:val="22"/>
                <w:szCs w:val="22"/>
              </w:rPr>
              <w:t xml:space="preserve">Consider noted UPR recommendations in order to identify potential risk areas for mediation/preventive action - RMR </w:t>
            </w:r>
            <w:r>
              <w:rPr>
                <w:sz w:val="22"/>
                <w:szCs w:val="22"/>
              </w:rPr>
              <w:t xml:space="preserve">related </w:t>
            </w:r>
            <w:r w:rsidRPr="00980DF9">
              <w:rPr>
                <w:sz w:val="22"/>
                <w:szCs w:val="22"/>
              </w:rPr>
              <w:t>discussions</w:t>
            </w:r>
            <w:r>
              <w:rPr>
                <w:sz w:val="22"/>
                <w:szCs w:val="22"/>
              </w:rPr>
              <w:t>.</w:t>
            </w:r>
          </w:p>
        </w:tc>
      </w:tr>
      <w:tr w:rsidR="007753D8" w:rsidRPr="0037602B" w14:paraId="59546DF4" w14:textId="77777777" w:rsidTr="001761BC">
        <w:trPr>
          <w:gridAfter w:val="1"/>
          <w:wAfter w:w="25" w:type="dxa"/>
          <w:trHeight w:val="67"/>
        </w:trPr>
        <w:tc>
          <w:tcPr>
            <w:tcW w:w="14454" w:type="dxa"/>
            <w:gridSpan w:val="2"/>
            <w:tcBorders>
              <w:top w:val="dotted" w:sz="4" w:space="0" w:color="auto"/>
              <w:bottom w:val="dotted" w:sz="4" w:space="0" w:color="auto"/>
            </w:tcBorders>
          </w:tcPr>
          <w:p w14:paraId="73E2A803" w14:textId="4A732A40" w:rsidR="007753D8" w:rsidRDefault="00375BCC" w:rsidP="00B6286C">
            <w:pPr>
              <w:rPr>
                <w:sz w:val="22"/>
                <w:szCs w:val="22"/>
              </w:rPr>
            </w:pPr>
            <w:r>
              <w:rPr>
                <w:sz w:val="22"/>
                <w:szCs w:val="22"/>
              </w:rPr>
              <w:t xml:space="preserve">8. </w:t>
            </w:r>
            <w:r w:rsidR="007753D8" w:rsidRPr="007753D8">
              <w:rPr>
                <w:sz w:val="22"/>
                <w:szCs w:val="22"/>
              </w:rPr>
              <w:t xml:space="preserve">Utilize references to recommendations, reports or other outcomes of the </w:t>
            </w:r>
            <w:r w:rsidR="00B6286C">
              <w:rPr>
                <w:sz w:val="22"/>
                <w:szCs w:val="22"/>
              </w:rPr>
              <w:t>UPR</w:t>
            </w:r>
            <w:r w:rsidR="007753D8" w:rsidRPr="007753D8">
              <w:rPr>
                <w:sz w:val="22"/>
                <w:szCs w:val="22"/>
              </w:rPr>
              <w:t xml:space="preserve"> in the protection cluster’s advocacy strategy and/or activities.</w:t>
            </w:r>
          </w:p>
        </w:tc>
      </w:tr>
    </w:tbl>
    <w:p w14:paraId="0B897877" w14:textId="77777777" w:rsidR="00DA5E49" w:rsidRDefault="00DA5E49">
      <w:pPr>
        <w:rPr>
          <w:sz w:val="22"/>
          <w:szCs w:val="22"/>
        </w:rPr>
      </w:pPr>
    </w:p>
    <w:tbl>
      <w:tblPr>
        <w:tblStyle w:val="TableGrid"/>
        <w:tblW w:w="14479" w:type="dxa"/>
        <w:tblBorders>
          <w:insideH w:val="none" w:sz="0" w:space="0" w:color="auto"/>
          <w:insideV w:val="none" w:sz="0" w:space="0" w:color="auto"/>
        </w:tblBorders>
        <w:tblLayout w:type="fixed"/>
        <w:tblLook w:val="04A0" w:firstRow="1" w:lastRow="0" w:firstColumn="1" w:lastColumn="0" w:noHBand="0" w:noVBand="1"/>
      </w:tblPr>
      <w:tblGrid>
        <w:gridCol w:w="895"/>
        <w:gridCol w:w="3870"/>
        <w:gridCol w:w="4320"/>
        <w:gridCol w:w="3330"/>
        <w:gridCol w:w="2064"/>
      </w:tblGrid>
      <w:tr w:rsidR="00CB70A4" w:rsidRPr="00881E48" w14:paraId="39929683" w14:textId="77777777" w:rsidTr="00366C9E">
        <w:trPr>
          <w:trHeight w:val="67"/>
        </w:trPr>
        <w:tc>
          <w:tcPr>
            <w:tcW w:w="14479" w:type="dxa"/>
            <w:gridSpan w:val="5"/>
            <w:tcBorders>
              <w:bottom w:val="nil"/>
            </w:tcBorders>
            <w:shd w:val="clear" w:color="auto" w:fill="FCBCF4"/>
          </w:tcPr>
          <w:p w14:paraId="16D30C7B" w14:textId="77777777" w:rsidR="00CB70A4" w:rsidRPr="00881E48" w:rsidRDefault="00CB70A4" w:rsidP="00366C9E">
            <w:pPr>
              <w:spacing w:before="60" w:after="60"/>
              <w:rPr>
                <w:rFonts w:asciiTheme="majorHAnsi" w:hAnsiTheme="majorHAnsi" w:cstheme="majorHAnsi"/>
                <w:b/>
                <w:bCs/>
              </w:rPr>
            </w:pPr>
            <w:r w:rsidRPr="00881E48">
              <w:rPr>
                <w:rFonts w:asciiTheme="majorHAnsi" w:hAnsiTheme="majorHAnsi" w:cstheme="majorHAnsi"/>
                <w:b/>
                <w:bCs/>
              </w:rPr>
              <w:t xml:space="preserve">How </w:t>
            </w:r>
            <w:r>
              <w:rPr>
                <w:rFonts w:asciiTheme="majorHAnsi" w:hAnsiTheme="majorHAnsi" w:cstheme="majorHAnsi"/>
                <w:b/>
                <w:bCs/>
              </w:rPr>
              <w:t>did</w:t>
            </w:r>
            <w:r w:rsidRPr="00881E48">
              <w:rPr>
                <w:rFonts w:asciiTheme="majorHAnsi" w:hAnsiTheme="majorHAnsi" w:cstheme="majorHAnsi"/>
                <w:b/>
                <w:bCs/>
              </w:rPr>
              <w:t xml:space="preserve"> the protection cluster engage?</w:t>
            </w:r>
          </w:p>
        </w:tc>
      </w:tr>
      <w:tr w:rsidR="00CB70A4" w14:paraId="4A47AAD5" w14:textId="77777777" w:rsidTr="00366C9E">
        <w:tblPrEx>
          <w:tblBorders>
            <w:insideH w:val="single" w:sz="4" w:space="0" w:color="auto"/>
            <w:insideV w:val="single" w:sz="4" w:space="0" w:color="auto"/>
          </w:tblBorders>
        </w:tblPrEx>
        <w:tc>
          <w:tcPr>
            <w:tcW w:w="895" w:type="dxa"/>
            <w:shd w:val="clear" w:color="auto" w:fill="D6F7FE"/>
          </w:tcPr>
          <w:p w14:paraId="47A4F289" w14:textId="177BA6DB" w:rsidR="00CB70A4" w:rsidRPr="00B46DEA" w:rsidRDefault="00CB70A4" w:rsidP="00366C9E">
            <w:pPr>
              <w:pStyle w:val="ListParagraph"/>
              <w:ind w:left="-23" w:hanging="34"/>
              <w:rPr>
                <w:rFonts w:asciiTheme="majorHAnsi" w:hAnsiTheme="majorHAnsi" w:cstheme="majorHAnsi"/>
                <w:sz w:val="22"/>
                <w:szCs w:val="22"/>
              </w:rPr>
            </w:pPr>
            <w:r w:rsidRPr="00B46DEA">
              <w:rPr>
                <w:rFonts w:asciiTheme="majorHAnsi" w:hAnsiTheme="majorHAnsi" w:cstheme="majorHAnsi"/>
                <w:sz w:val="22"/>
                <w:szCs w:val="22"/>
              </w:rPr>
              <w:t>Ac</w:t>
            </w:r>
            <w:r>
              <w:rPr>
                <w:rFonts w:asciiTheme="majorHAnsi" w:hAnsiTheme="majorHAnsi" w:cstheme="majorHAnsi"/>
                <w:sz w:val="22"/>
                <w:szCs w:val="22"/>
              </w:rPr>
              <w:t xml:space="preserve">tions </w:t>
            </w:r>
            <w:r w:rsidRPr="00B46DEA">
              <w:rPr>
                <w:rFonts w:asciiTheme="majorHAnsi" w:hAnsiTheme="majorHAnsi" w:cstheme="majorHAnsi"/>
                <w:sz w:val="22"/>
                <w:szCs w:val="22"/>
              </w:rPr>
              <w:t>taken</w:t>
            </w:r>
            <w:r w:rsidR="007C575F">
              <w:rPr>
                <w:rFonts w:asciiTheme="majorHAnsi" w:hAnsiTheme="majorHAnsi" w:cstheme="majorHAnsi"/>
                <w:sz w:val="22"/>
                <w:szCs w:val="22"/>
              </w:rPr>
              <w:t xml:space="preserve"> from the list above</w:t>
            </w:r>
          </w:p>
        </w:tc>
        <w:tc>
          <w:tcPr>
            <w:tcW w:w="3870" w:type="dxa"/>
            <w:shd w:val="clear" w:color="auto" w:fill="D6F7FE"/>
          </w:tcPr>
          <w:p w14:paraId="1DF94E88" w14:textId="77777777" w:rsidR="00CB70A4" w:rsidRPr="00B46DEA" w:rsidRDefault="00CB70A4" w:rsidP="00366C9E">
            <w:pPr>
              <w:rPr>
                <w:rFonts w:asciiTheme="majorHAnsi" w:hAnsiTheme="majorHAnsi" w:cstheme="majorHAnsi"/>
                <w:sz w:val="22"/>
                <w:szCs w:val="22"/>
              </w:rPr>
            </w:pPr>
            <w:r>
              <w:rPr>
                <w:rFonts w:asciiTheme="majorHAnsi" w:hAnsiTheme="majorHAnsi" w:cstheme="majorHAnsi"/>
                <w:sz w:val="22"/>
                <w:szCs w:val="22"/>
              </w:rPr>
              <w:t>What did the cluster do under this action</w:t>
            </w:r>
          </w:p>
        </w:tc>
        <w:tc>
          <w:tcPr>
            <w:tcW w:w="4320" w:type="dxa"/>
            <w:shd w:val="clear" w:color="auto" w:fill="D6F7FE"/>
          </w:tcPr>
          <w:p w14:paraId="00468C4E" w14:textId="77777777" w:rsidR="00CB70A4" w:rsidRPr="00B46DEA" w:rsidRDefault="00CB70A4" w:rsidP="00366C9E">
            <w:pPr>
              <w:rPr>
                <w:rFonts w:asciiTheme="majorHAnsi" w:hAnsiTheme="majorHAnsi" w:cstheme="majorHAnsi"/>
                <w:sz w:val="22"/>
                <w:szCs w:val="22"/>
              </w:rPr>
            </w:pPr>
            <w:r w:rsidRPr="00B46DEA">
              <w:rPr>
                <w:rFonts w:asciiTheme="majorHAnsi" w:hAnsiTheme="majorHAnsi" w:cstheme="majorHAnsi"/>
                <w:sz w:val="22"/>
                <w:szCs w:val="22"/>
              </w:rPr>
              <w:t xml:space="preserve">What </w:t>
            </w:r>
            <w:r>
              <w:rPr>
                <w:rFonts w:asciiTheme="majorHAnsi" w:hAnsiTheme="majorHAnsi" w:cstheme="majorHAnsi"/>
                <w:sz w:val="22"/>
                <w:szCs w:val="22"/>
              </w:rPr>
              <w:t>challenges did the cluster face in taking this action</w:t>
            </w:r>
          </w:p>
        </w:tc>
        <w:tc>
          <w:tcPr>
            <w:tcW w:w="3330" w:type="dxa"/>
            <w:shd w:val="clear" w:color="auto" w:fill="D6F7FE"/>
          </w:tcPr>
          <w:p w14:paraId="2D813818" w14:textId="77777777" w:rsidR="00CB70A4" w:rsidRPr="00B46DEA" w:rsidRDefault="00CB70A4" w:rsidP="00366C9E">
            <w:pPr>
              <w:rPr>
                <w:rFonts w:asciiTheme="majorHAnsi" w:hAnsiTheme="majorHAnsi" w:cstheme="majorHAnsi"/>
                <w:sz w:val="22"/>
                <w:szCs w:val="22"/>
              </w:rPr>
            </w:pPr>
            <w:r>
              <w:rPr>
                <w:rFonts w:asciiTheme="majorHAnsi" w:hAnsiTheme="majorHAnsi" w:cstheme="majorHAnsi"/>
                <w:sz w:val="22"/>
                <w:szCs w:val="22"/>
              </w:rPr>
              <w:t>Result of the action</w:t>
            </w:r>
          </w:p>
        </w:tc>
        <w:tc>
          <w:tcPr>
            <w:tcW w:w="2064" w:type="dxa"/>
            <w:shd w:val="clear" w:color="auto" w:fill="D6F7FE"/>
          </w:tcPr>
          <w:p w14:paraId="5151CD8E" w14:textId="77777777" w:rsidR="00CB70A4" w:rsidRPr="00B46DEA" w:rsidRDefault="00CB70A4" w:rsidP="00366C9E">
            <w:pPr>
              <w:rPr>
                <w:rFonts w:asciiTheme="majorHAnsi" w:hAnsiTheme="majorHAnsi" w:cstheme="majorHAnsi"/>
                <w:sz w:val="22"/>
                <w:szCs w:val="22"/>
              </w:rPr>
            </w:pPr>
            <w:r w:rsidRPr="00B46DEA">
              <w:rPr>
                <w:rFonts w:asciiTheme="majorHAnsi" w:hAnsiTheme="majorHAnsi" w:cstheme="majorHAnsi"/>
                <w:sz w:val="22"/>
                <w:szCs w:val="22"/>
              </w:rPr>
              <w:t>Further support needed from HRE TT</w:t>
            </w:r>
          </w:p>
        </w:tc>
      </w:tr>
      <w:tr w:rsidR="00CB70A4" w14:paraId="7BB0CE87" w14:textId="77777777" w:rsidTr="00366C9E">
        <w:tblPrEx>
          <w:tblBorders>
            <w:insideH w:val="single" w:sz="4" w:space="0" w:color="auto"/>
            <w:insideV w:val="single" w:sz="4" w:space="0" w:color="auto"/>
          </w:tblBorders>
        </w:tblPrEx>
        <w:tc>
          <w:tcPr>
            <w:tcW w:w="895" w:type="dxa"/>
          </w:tcPr>
          <w:p w14:paraId="3A719CF3" w14:textId="77777777" w:rsidR="00CB70A4" w:rsidRPr="00B46DEA" w:rsidRDefault="00CB70A4" w:rsidP="00CB70A4">
            <w:pPr>
              <w:pStyle w:val="ListParagraph"/>
              <w:numPr>
                <w:ilvl w:val="0"/>
                <w:numId w:val="3"/>
              </w:numPr>
              <w:ind w:left="393" w:hanging="393"/>
              <w:rPr>
                <w:rFonts w:asciiTheme="majorHAnsi" w:hAnsiTheme="majorHAnsi" w:cstheme="majorHAnsi"/>
                <w:sz w:val="22"/>
                <w:szCs w:val="22"/>
              </w:rPr>
            </w:pPr>
            <w:r>
              <w:rPr>
                <w:rFonts w:asciiTheme="majorHAnsi" w:hAnsiTheme="majorHAnsi" w:cstheme="majorHAnsi"/>
                <w:sz w:val="22"/>
                <w:szCs w:val="22"/>
              </w:rPr>
              <w:sym w:font="Webdings" w:char="F063"/>
            </w:r>
          </w:p>
        </w:tc>
        <w:tc>
          <w:tcPr>
            <w:tcW w:w="3870" w:type="dxa"/>
          </w:tcPr>
          <w:p w14:paraId="339EDB83" w14:textId="77777777" w:rsidR="00CB70A4" w:rsidRPr="00B46DEA" w:rsidRDefault="00CB70A4" w:rsidP="00366C9E">
            <w:pPr>
              <w:rPr>
                <w:rFonts w:asciiTheme="majorHAnsi" w:hAnsiTheme="majorHAnsi" w:cstheme="majorHAnsi"/>
                <w:sz w:val="22"/>
                <w:szCs w:val="22"/>
              </w:rPr>
            </w:pPr>
          </w:p>
        </w:tc>
        <w:tc>
          <w:tcPr>
            <w:tcW w:w="4320" w:type="dxa"/>
          </w:tcPr>
          <w:p w14:paraId="70580422" w14:textId="77777777" w:rsidR="00CB70A4" w:rsidRPr="00B46DEA" w:rsidRDefault="00CB70A4" w:rsidP="00366C9E">
            <w:pPr>
              <w:rPr>
                <w:rFonts w:asciiTheme="majorHAnsi" w:hAnsiTheme="majorHAnsi" w:cstheme="majorHAnsi"/>
                <w:sz w:val="22"/>
                <w:szCs w:val="22"/>
              </w:rPr>
            </w:pPr>
          </w:p>
        </w:tc>
        <w:tc>
          <w:tcPr>
            <w:tcW w:w="3330" w:type="dxa"/>
          </w:tcPr>
          <w:p w14:paraId="7BA37A7E" w14:textId="77777777" w:rsidR="00CB70A4" w:rsidRPr="00B46DEA" w:rsidRDefault="00CB70A4" w:rsidP="00366C9E">
            <w:pPr>
              <w:rPr>
                <w:rFonts w:asciiTheme="majorHAnsi" w:hAnsiTheme="majorHAnsi" w:cstheme="majorHAnsi"/>
                <w:sz w:val="22"/>
                <w:szCs w:val="22"/>
              </w:rPr>
            </w:pPr>
          </w:p>
        </w:tc>
        <w:tc>
          <w:tcPr>
            <w:tcW w:w="2064" w:type="dxa"/>
          </w:tcPr>
          <w:p w14:paraId="499F3493" w14:textId="77777777" w:rsidR="00CB70A4" w:rsidRPr="00B46DEA" w:rsidRDefault="00CB70A4" w:rsidP="00366C9E">
            <w:pPr>
              <w:rPr>
                <w:rFonts w:asciiTheme="majorHAnsi" w:hAnsiTheme="majorHAnsi" w:cstheme="majorHAnsi"/>
                <w:sz w:val="22"/>
                <w:szCs w:val="22"/>
              </w:rPr>
            </w:pPr>
          </w:p>
        </w:tc>
      </w:tr>
      <w:tr w:rsidR="00CB70A4" w14:paraId="6CE04D0F" w14:textId="77777777" w:rsidTr="00366C9E">
        <w:tblPrEx>
          <w:tblBorders>
            <w:insideH w:val="single" w:sz="4" w:space="0" w:color="auto"/>
            <w:insideV w:val="single" w:sz="4" w:space="0" w:color="auto"/>
          </w:tblBorders>
        </w:tblPrEx>
        <w:tc>
          <w:tcPr>
            <w:tcW w:w="895" w:type="dxa"/>
          </w:tcPr>
          <w:p w14:paraId="48F01D29" w14:textId="77777777" w:rsidR="00CB70A4" w:rsidRPr="00B46DEA" w:rsidRDefault="00CB70A4" w:rsidP="00CB70A4">
            <w:pPr>
              <w:pStyle w:val="ListParagraph"/>
              <w:numPr>
                <w:ilvl w:val="0"/>
                <w:numId w:val="3"/>
              </w:numPr>
              <w:ind w:left="393" w:hanging="393"/>
              <w:rPr>
                <w:rFonts w:asciiTheme="majorHAnsi" w:hAnsiTheme="majorHAnsi" w:cstheme="majorHAnsi"/>
                <w:sz w:val="22"/>
                <w:szCs w:val="22"/>
              </w:rPr>
            </w:pPr>
            <w:r>
              <w:rPr>
                <w:rFonts w:asciiTheme="majorHAnsi" w:hAnsiTheme="majorHAnsi" w:cstheme="majorHAnsi"/>
                <w:sz w:val="22"/>
                <w:szCs w:val="22"/>
              </w:rPr>
              <w:sym w:font="Webdings" w:char="F063"/>
            </w:r>
          </w:p>
        </w:tc>
        <w:tc>
          <w:tcPr>
            <w:tcW w:w="3870" w:type="dxa"/>
          </w:tcPr>
          <w:p w14:paraId="3E9B7B25" w14:textId="77777777" w:rsidR="00CB70A4" w:rsidRPr="00B46DEA" w:rsidRDefault="00CB70A4" w:rsidP="00366C9E">
            <w:pPr>
              <w:rPr>
                <w:rFonts w:asciiTheme="majorHAnsi" w:hAnsiTheme="majorHAnsi" w:cstheme="majorHAnsi"/>
                <w:sz w:val="22"/>
                <w:szCs w:val="22"/>
              </w:rPr>
            </w:pPr>
          </w:p>
        </w:tc>
        <w:tc>
          <w:tcPr>
            <w:tcW w:w="4320" w:type="dxa"/>
          </w:tcPr>
          <w:p w14:paraId="6DD01EB1" w14:textId="77777777" w:rsidR="00CB70A4" w:rsidRPr="00B46DEA" w:rsidRDefault="00CB70A4" w:rsidP="00366C9E">
            <w:pPr>
              <w:rPr>
                <w:rFonts w:asciiTheme="majorHAnsi" w:hAnsiTheme="majorHAnsi" w:cstheme="majorHAnsi"/>
                <w:sz w:val="22"/>
                <w:szCs w:val="22"/>
              </w:rPr>
            </w:pPr>
          </w:p>
        </w:tc>
        <w:tc>
          <w:tcPr>
            <w:tcW w:w="3330" w:type="dxa"/>
          </w:tcPr>
          <w:p w14:paraId="64366DDA" w14:textId="77777777" w:rsidR="00CB70A4" w:rsidRPr="00B46DEA" w:rsidRDefault="00CB70A4" w:rsidP="00366C9E">
            <w:pPr>
              <w:rPr>
                <w:rFonts w:asciiTheme="majorHAnsi" w:hAnsiTheme="majorHAnsi" w:cstheme="majorHAnsi"/>
                <w:sz w:val="22"/>
                <w:szCs w:val="22"/>
              </w:rPr>
            </w:pPr>
          </w:p>
        </w:tc>
        <w:tc>
          <w:tcPr>
            <w:tcW w:w="2064" w:type="dxa"/>
          </w:tcPr>
          <w:p w14:paraId="17212049" w14:textId="77777777" w:rsidR="00CB70A4" w:rsidRPr="00B46DEA" w:rsidRDefault="00CB70A4" w:rsidP="00366C9E">
            <w:pPr>
              <w:rPr>
                <w:rFonts w:asciiTheme="majorHAnsi" w:hAnsiTheme="majorHAnsi" w:cstheme="majorHAnsi"/>
                <w:sz w:val="22"/>
                <w:szCs w:val="22"/>
              </w:rPr>
            </w:pPr>
          </w:p>
        </w:tc>
      </w:tr>
      <w:tr w:rsidR="00CB70A4" w14:paraId="432FD669" w14:textId="77777777" w:rsidTr="00366C9E">
        <w:tblPrEx>
          <w:tblBorders>
            <w:insideH w:val="single" w:sz="4" w:space="0" w:color="auto"/>
            <w:insideV w:val="single" w:sz="4" w:space="0" w:color="auto"/>
          </w:tblBorders>
        </w:tblPrEx>
        <w:tc>
          <w:tcPr>
            <w:tcW w:w="895" w:type="dxa"/>
          </w:tcPr>
          <w:p w14:paraId="73F92FA8" w14:textId="77777777" w:rsidR="00CB70A4" w:rsidRPr="00B46DEA" w:rsidRDefault="00CB70A4" w:rsidP="00CB70A4">
            <w:pPr>
              <w:pStyle w:val="ListParagraph"/>
              <w:numPr>
                <w:ilvl w:val="0"/>
                <w:numId w:val="3"/>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39A63FEF" w14:textId="77777777" w:rsidR="00CB70A4" w:rsidRPr="00B46DEA" w:rsidRDefault="00CB70A4" w:rsidP="00366C9E">
            <w:pPr>
              <w:rPr>
                <w:rFonts w:asciiTheme="majorHAnsi" w:hAnsiTheme="majorHAnsi" w:cstheme="majorHAnsi"/>
                <w:sz w:val="22"/>
                <w:szCs w:val="22"/>
              </w:rPr>
            </w:pPr>
          </w:p>
        </w:tc>
        <w:tc>
          <w:tcPr>
            <w:tcW w:w="4320" w:type="dxa"/>
          </w:tcPr>
          <w:p w14:paraId="39EF9010" w14:textId="77777777" w:rsidR="00CB70A4" w:rsidRPr="00B46DEA" w:rsidRDefault="00CB70A4" w:rsidP="00366C9E">
            <w:pPr>
              <w:rPr>
                <w:rFonts w:asciiTheme="majorHAnsi" w:hAnsiTheme="majorHAnsi" w:cstheme="majorHAnsi"/>
                <w:sz w:val="22"/>
                <w:szCs w:val="22"/>
              </w:rPr>
            </w:pPr>
          </w:p>
        </w:tc>
        <w:tc>
          <w:tcPr>
            <w:tcW w:w="3330" w:type="dxa"/>
          </w:tcPr>
          <w:p w14:paraId="3676804B" w14:textId="77777777" w:rsidR="00CB70A4" w:rsidRPr="00B46DEA" w:rsidRDefault="00CB70A4" w:rsidP="00366C9E">
            <w:pPr>
              <w:rPr>
                <w:rFonts w:asciiTheme="majorHAnsi" w:hAnsiTheme="majorHAnsi" w:cstheme="majorHAnsi"/>
                <w:sz w:val="22"/>
                <w:szCs w:val="22"/>
              </w:rPr>
            </w:pPr>
          </w:p>
        </w:tc>
        <w:tc>
          <w:tcPr>
            <w:tcW w:w="2064" w:type="dxa"/>
          </w:tcPr>
          <w:p w14:paraId="7B2485D9" w14:textId="77777777" w:rsidR="00CB70A4" w:rsidRPr="00B46DEA" w:rsidRDefault="00CB70A4" w:rsidP="00366C9E">
            <w:pPr>
              <w:rPr>
                <w:rFonts w:asciiTheme="majorHAnsi" w:hAnsiTheme="majorHAnsi" w:cstheme="majorHAnsi"/>
                <w:sz w:val="22"/>
                <w:szCs w:val="22"/>
              </w:rPr>
            </w:pPr>
          </w:p>
        </w:tc>
      </w:tr>
      <w:tr w:rsidR="00CB70A4" w14:paraId="4DC449BC" w14:textId="77777777" w:rsidTr="00366C9E">
        <w:tblPrEx>
          <w:tblBorders>
            <w:insideH w:val="single" w:sz="4" w:space="0" w:color="auto"/>
            <w:insideV w:val="single" w:sz="4" w:space="0" w:color="auto"/>
          </w:tblBorders>
        </w:tblPrEx>
        <w:tc>
          <w:tcPr>
            <w:tcW w:w="895" w:type="dxa"/>
          </w:tcPr>
          <w:p w14:paraId="1D41484C" w14:textId="77777777" w:rsidR="00CB70A4" w:rsidRPr="00B46DEA" w:rsidRDefault="00CB70A4" w:rsidP="00CB70A4">
            <w:pPr>
              <w:pStyle w:val="ListParagraph"/>
              <w:numPr>
                <w:ilvl w:val="0"/>
                <w:numId w:val="3"/>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6C7F5064" w14:textId="77777777" w:rsidR="00CB70A4" w:rsidRPr="00B46DEA" w:rsidRDefault="00CB70A4" w:rsidP="00366C9E">
            <w:pPr>
              <w:rPr>
                <w:rFonts w:asciiTheme="majorHAnsi" w:hAnsiTheme="majorHAnsi" w:cstheme="majorHAnsi"/>
                <w:sz w:val="22"/>
                <w:szCs w:val="22"/>
              </w:rPr>
            </w:pPr>
          </w:p>
        </w:tc>
        <w:tc>
          <w:tcPr>
            <w:tcW w:w="4320" w:type="dxa"/>
          </w:tcPr>
          <w:p w14:paraId="6B3C02CA" w14:textId="77777777" w:rsidR="00CB70A4" w:rsidRPr="00B46DEA" w:rsidRDefault="00CB70A4" w:rsidP="00366C9E">
            <w:pPr>
              <w:rPr>
                <w:rFonts w:asciiTheme="majorHAnsi" w:hAnsiTheme="majorHAnsi" w:cstheme="majorHAnsi"/>
                <w:sz w:val="22"/>
                <w:szCs w:val="22"/>
              </w:rPr>
            </w:pPr>
          </w:p>
        </w:tc>
        <w:tc>
          <w:tcPr>
            <w:tcW w:w="3330" w:type="dxa"/>
          </w:tcPr>
          <w:p w14:paraId="7843DFF6" w14:textId="77777777" w:rsidR="00CB70A4" w:rsidRPr="00B46DEA" w:rsidRDefault="00CB70A4" w:rsidP="00366C9E">
            <w:pPr>
              <w:rPr>
                <w:rFonts w:asciiTheme="majorHAnsi" w:hAnsiTheme="majorHAnsi" w:cstheme="majorHAnsi"/>
                <w:sz w:val="22"/>
                <w:szCs w:val="22"/>
              </w:rPr>
            </w:pPr>
          </w:p>
        </w:tc>
        <w:tc>
          <w:tcPr>
            <w:tcW w:w="2064" w:type="dxa"/>
          </w:tcPr>
          <w:p w14:paraId="5EF3E5D0" w14:textId="77777777" w:rsidR="00CB70A4" w:rsidRPr="00B46DEA" w:rsidRDefault="00CB70A4" w:rsidP="00366C9E">
            <w:pPr>
              <w:rPr>
                <w:rFonts w:asciiTheme="majorHAnsi" w:hAnsiTheme="majorHAnsi" w:cstheme="majorHAnsi"/>
                <w:sz w:val="22"/>
                <w:szCs w:val="22"/>
              </w:rPr>
            </w:pPr>
          </w:p>
        </w:tc>
      </w:tr>
      <w:tr w:rsidR="00CB70A4" w14:paraId="042F6A40" w14:textId="77777777" w:rsidTr="00366C9E">
        <w:tblPrEx>
          <w:tblBorders>
            <w:insideH w:val="single" w:sz="4" w:space="0" w:color="auto"/>
            <w:insideV w:val="single" w:sz="4" w:space="0" w:color="auto"/>
          </w:tblBorders>
        </w:tblPrEx>
        <w:tc>
          <w:tcPr>
            <w:tcW w:w="895" w:type="dxa"/>
          </w:tcPr>
          <w:p w14:paraId="7E4D7DB8" w14:textId="77777777" w:rsidR="00CB70A4" w:rsidRPr="00B46DEA" w:rsidRDefault="00CB70A4" w:rsidP="00CB70A4">
            <w:pPr>
              <w:pStyle w:val="ListParagraph"/>
              <w:numPr>
                <w:ilvl w:val="0"/>
                <w:numId w:val="3"/>
              </w:numPr>
              <w:ind w:left="393" w:hanging="393"/>
              <w:rPr>
                <w:rFonts w:asciiTheme="majorHAnsi" w:hAnsiTheme="majorHAnsi" w:cstheme="majorHAnsi"/>
                <w:sz w:val="22"/>
                <w:szCs w:val="22"/>
              </w:rPr>
            </w:pPr>
            <w:r w:rsidRPr="00621821">
              <w:rPr>
                <w:rFonts w:asciiTheme="majorHAnsi" w:hAnsiTheme="majorHAnsi" w:cstheme="majorHAnsi"/>
                <w:sz w:val="22"/>
                <w:szCs w:val="22"/>
              </w:rPr>
              <w:sym w:font="Webdings" w:char="F063"/>
            </w:r>
          </w:p>
        </w:tc>
        <w:tc>
          <w:tcPr>
            <w:tcW w:w="3870" w:type="dxa"/>
          </w:tcPr>
          <w:p w14:paraId="7DDD0688" w14:textId="77777777" w:rsidR="00CB70A4" w:rsidRPr="00B46DEA" w:rsidRDefault="00CB70A4" w:rsidP="00366C9E">
            <w:pPr>
              <w:rPr>
                <w:rFonts w:asciiTheme="majorHAnsi" w:hAnsiTheme="majorHAnsi" w:cstheme="majorHAnsi"/>
                <w:sz w:val="22"/>
                <w:szCs w:val="22"/>
              </w:rPr>
            </w:pPr>
          </w:p>
        </w:tc>
        <w:tc>
          <w:tcPr>
            <w:tcW w:w="4320" w:type="dxa"/>
          </w:tcPr>
          <w:p w14:paraId="23509801" w14:textId="77777777" w:rsidR="00CB70A4" w:rsidRPr="00B46DEA" w:rsidRDefault="00CB70A4" w:rsidP="00366C9E">
            <w:pPr>
              <w:rPr>
                <w:rFonts w:asciiTheme="majorHAnsi" w:hAnsiTheme="majorHAnsi" w:cstheme="majorHAnsi"/>
                <w:sz w:val="22"/>
                <w:szCs w:val="22"/>
              </w:rPr>
            </w:pPr>
          </w:p>
        </w:tc>
        <w:tc>
          <w:tcPr>
            <w:tcW w:w="3330" w:type="dxa"/>
          </w:tcPr>
          <w:p w14:paraId="65E416EF" w14:textId="77777777" w:rsidR="00CB70A4" w:rsidRPr="00B46DEA" w:rsidRDefault="00CB70A4" w:rsidP="00366C9E">
            <w:pPr>
              <w:rPr>
                <w:rFonts w:asciiTheme="majorHAnsi" w:hAnsiTheme="majorHAnsi" w:cstheme="majorHAnsi"/>
                <w:sz w:val="22"/>
                <w:szCs w:val="22"/>
              </w:rPr>
            </w:pPr>
          </w:p>
        </w:tc>
        <w:tc>
          <w:tcPr>
            <w:tcW w:w="2064" w:type="dxa"/>
          </w:tcPr>
          <w:p w14:paraId="7A50ADFB" w14:textId="77777777" w:rsidR="00CB70A4" w:rsidRPr="00B46DEA" w:rsidRDefault="00CB70A4" w:rsidP="00366C9E">
            <w:pPr>
              <w:rPr>
                <w:rFonts w:asciiTheme="majorHAnsi" w:hAnsiTheme="majorHAnsi" w:cstheme="majorHAnsi"/>
                <w:sz w:val="22"/>
                <w:szCs w:val="22"/>
              </w:rPr>
            </w:pPr>
          </w:p>
        </w:tc>
      </w:tr>
    </w:tbl>
    <w:p w14:paraId="05C2A225" w14:textId="77777777" w:rsidR="00CB70A4" w:rsidRPr="0037602B" w:rsidRDefault="00CB70A4">
      <w:pPr>
        <w:rPr>
          <w:sz w:val="22"/>
          <w:szCs w:val="22"/>
        </w:rPr>
      </w:pPr>
    </w:p>
    <w:sectPr w:rsidR="00CB70A4" w:rsidRPr="0037602B" w:rsidSect="003A45D0">
      <w:headerReference w:type="default" r:id="rId14"/>
      <w:pgSz w:w="16838" w:h="11906" w:orient="landscape"/>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38BA5" w14:textId="77777777" w:rsidR="0000504E" w:rsidRDefault="0000504E" w:rsidP="00DA5E49">
      <w:r>
        <w:separator/>
      </w:r>
    </w:p>
  </w:endnote>
  <w:endnote w:type="continuationSeparator" w:id="0">
    <w:p w14:paraId="5D783126" w14:textId="77777777" w:rsidR="0000504E" w:rsidRDefault="0000504E" w:rsidP="00DA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0B24B" w14:textId="77777777" w:rsidR="0000504E" w:rsidRDefault="0000504E" w:rsidP="00DA5E49">
      <w:r>
        <w:separator/>
      </w:r>
    </w:p>
  </w:footnote>
  <w:footnote w:type="continuationSeparator" w:id="0">
    <w:p w14:paraId="0F82FB55" w14:textId="77777777" w:rsidR="0000504E" w:rsidRDefault="0000504E" w:rsidP="00DA5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9E6A" w14:textId="1DBED362" w:rsidR="00DA5E49" w:rsidRPr="003A45D0" w:rsidRDefault="003A45D0" w:rsidP="00320379">
    <w:pPr>
      <w:pStyle w:val="Title"/>
      <w:spacing w:after="480"/>
      <w:ind w:left="850"/>
      <w:rPr>
        <w:lang w:val="fr-CH"/>
      </w:rPr>
    </w:pPr>
    <w:r>
      <w:rPr>
        <w:noProof/>
        <w:lang w:val="en-US"/>
      </w:rPr>
      <w:drawing>
        <wp:anchor distT="0" distB="0" distL="114300" distR="114300" simplePos="0" relativeHeight="251658240" behindDoc="0" locked="0" layoutInCell="1" allowOverlap="1" wp14:anchorId="0735D16D" wp14:editId="13DEDA70">
          <wp:simplePos x="0" y="0"/>
          <wp:positionH relativeFrom="column">
            <wp:posOffset>-497205</wp:posOffset>
          </wp:positionH>
          <wp:positionV relativeFrom="paragraph">
            <wp:posOffset>-178164</wp:posOffset>
          </wp:positionV>
          <wp:extent cx="865116" cy="72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5116" cy="720000"/>
                  </a:xfrm>
                  <a:prstGeom prst="rect">
                    <a:avLst/>
                  </a:prstGeom>
                </pic:spPr>
              </pic:pic>
            </a:graphicData>
          </a:graphic>
          <wp14:sizeRelH relativeFrom="page">
            <wp14:pctWidth>0</wp14:pctWidth>
          </wp14:sizeRelH>
          <wp14:sizeRelV relativeFrom="page">
            <wp14:pctHeight>0</wp14:pctHeight>
          </wp14:sizeRelV>
        </wp:anchor>
      </w:drawing>
    </w:r>
    <w:r w:rsidR="19DC0FDE">
      <w:rPr>
        <w:lang w:val="fr-CH"/>
      </w:rPr>
      <w:t xml:space="preserve">Universal </w:t>
    </w:r>
    <w:proofErr w:type="spellStart"/>
    <w:r w:rsidR="19DC0FDE">
      <w:rPr>
        <w:lang w:val="fr-CH"/>
      </w:rPr>
      <w:t>Periodic</w:t>
    </w:r>
    <w:proofErr w:type="spellEnd"/>
    <w:r w:rsidR="19DC0FDE">
      <w:rPr>
        <w:lang w:val="fr-CH"/>
      </w:rPr>
      <w:t xml:space="preserve"> </w:t>
    </w:r>
    <w:proofErr w:type="spellStart"/>
    <w:r w:rsidR="19DC0FDE">
      <w:rPr>
        <w:lang w:val="fr-CH"/>
      </w:rPr>
      <w:t>Review</w:t>
    </w:r>
    <w:proofErr w:type="spellEnd"/>
    <w:r w:rsidR="19DC0FDE">
      <w:rPr>
        <w:lang w:val="fr-CH"/>
      </w:rPr>
      <w:t xml:space="preserve"> (UPR)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14F52"/>
    <w:multiLevelType w:val="hybridMultilevel"/>
    <w:tmpl w:val="941C895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3FC10AF7"/>
    <w:multiLevelType w:val="hybridMultilevel"/>
    <w:tmpl w:val="769822A0"/>
    <w:lvl w:ilvl="0" w:tplc="34B43B4A">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E5083"/>
    <w:multiLevelType w:val="hybridMultilevel"/>
    <w:tmpl w:val="0FFEF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39566F"/>
    <w:multiLevelType w:val="hybridMultilevel"/>
    <w:tmpl w:val="7674B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76422"/>
    <w:multiLevelType w:val="hybridMultilevel"/>
    <w:tmpl w:val="94B2DACE"/>
    <w:lvl w:ilvl="0" w:tplc="34B43B4A">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49"/>
    <w:rsid w:val="0000243E"/>
    <w:rsid w:val="0000504E"/>
    <w:rsid w:val="00052789"/>
    <w:rsid w:val="00121812"/>
    <w:rsid w:val="00163A90"/>
    <w:rsid w:val="001729DB"/>
    <w:rsid w:val="001761BC"/>
    <w:rsid w:val="001804C5"/>
    <w:rsid w:val="001D3B49"/>
    <w:rsid w:val="002E3ADE"/>
    <w:rsid w:val="00320379"/>
    <w:rsid w:val="00366C9E"/>
    <w:rsid w:val="00375BCC"/>
    <w:rsid w:val="0037602B"/>
    <w:rsid w:val="00387A1D"/>
    <w:rsid w:val="003A45D0"/>
    <w:rsid w:val="00417166"/>
    <w:rsid w:val="004208F2"/>
    <w:rsid w:val="0044210A"/>
    <w:rsid w:val="0048740B"/>
    <w:rsid w:val="004B5B11"/>
    <w:rsid w:val="004F62FF"/>
    <w:rsid w:val="004F6744"/>
    <w:rsid w:val="00531CAF"/>
    <w:rsid w:val="00552B1A"/>
    <w:rsid w:val="0057549E"/>
    <w:rsid w:val="00577A1D"/>
    <w:rsid w:val="005B0828"/>
    <w:rsid w:val="005C5AA9"/>
    <w:rsid w:val="005E6EC6"/>
    <w:rsid w:val="006150EC"/>
    <w:rsid w:val="00681291"/>
    <w:rsid w:val="0068478F"/>
    <w:rsid w:val="006B0B60"/>
    <w:rsid w:val="006C0019"/>
    <w:rsid w:val="007168D8"/>
    <w:rsid w:val="007216DD"/>
    <w:rsid w:val="00764704"/>
    <w:rsid w:val="007753D8"/>
    <w:rsid w:val="007B2C16"/>
    <w:rsid w:val="007C575F"/>
    <w:rsid w:val="007E0B2F"/>
    <w:rsid w:val="007F3A22"/>
    <w:rsid w:val="00810AAC"/>
    <w:rsid w:val="00820CC3"/>
    <w:rsid w:val="00872DB8"/>
    <w:rsid w:val="00875801"/>
    <w:rsid w:val="00875D59"/>
    <w:rsid w:val="008B5AB0"/>
    <w:rsid w:val="009052AB"/>
    <w:rsid w:val="0092364A"/>
    <w:rsid w:val="00980DF9"/>
    <w:rsid w:val="009C15A0"/>
    <w:rsid w:val="009E7EEC"/>
    <w:rsid w:val="00A12C11"/>
    <w:rsid w:val="00A624B0"/>
    <w:rsid w:val="00A632B8"/>
    <w:rsid w:val="00A90F9D"/>
    <w:rsid w:val="00AC65AD"/>
    <w:rsid w:val="00AE0484"/>
    <w:rsid w:val="00AE409F"/>
    <w:rsid w:val="00B60222"/>
    <w:rsid w:val="00B6286C"/>
    <w:rsid w:val="00BA666A"/>
    <w:rsid w:val="00C219DC"/>
    <w:rsid w:val="00C60514"/>
    <w:rsid w:val="00CB1584"/>
    <w:rsid w:val="00CB70A4"/>
    <w:rsid w:val="00CC7FCA"/>
    <w:rsid w:val="00CD48D3"/>
    <w:rsid w:val="00D0187F"/>
    <w:rsid w:val="00D240F8"/>
    <w:rsid w:val="00D60785"/>
    <w:rsid w:val="00D6684E"/>
    <w:rsid w:val="00D901BC"/>
    <w:rsid w:val="00DA5E49"/>
    <w:rsid w:val="00DE220F"/>
    <w:rsid w:val="00E02464"/>
    <w:rsid w:val="00E30019"/>
    <w:rsid w:val="00E52613"/>
    <w:rsid w:val="00E61A21"/>
    <w:rsid w:val="00E76BDD"/>
    <w:rsid w:val="00EF6477"/>
    <w:rsid w:val="00F43C19"/>
    <w:rsid w:val="00FB6C8E"/>
    <w:rsid w:val="00FF0A75"/>
    <w:rsid w:val="1384C7C7"/>
    <w:rsid w:val="13F42B87"/>
    <w:rsid w:val="186F4CFF"/>
    <w:rsid w:val="19DC0FDE"/>
    <w:rsid w:val="2C383274"/>
    <w:rsid w:val="39BC053D"/>
    <w:rsid w:val="3D0579E6"/>
    <w:rsid w:val="44BC2EA5"/>
    <w:rsid w:val="53D08861"/>
    <w:rsid w:val="64485651"/>
    <w:rsid w:val="65E426B2"/>
    <w:rsid w:val="77E662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2FCAC"/>
  <w15:chartTrackingRefBased/>
  <w15:docId w15:val="{59BEDD13-F524-4A81-9758-F3A96D37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5E4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E49"/>
    <w:pPr>
      <w:ind w:left="720"/>
      <w:contextualSpacing/>
    </w:pPr>
  </w:style>
  <w:style w:type="character" w:customStyle="1" w:styleId="Heading1Char">
    <w:name w:val="Heading 1 Char"/>
    <w:basedOn w:val="DefaultParagraphFont"/>
    <w:link w:val="Heading1"/>
    <w:uiPriority w:val="9"/>
    <w:rsid w:val="00DA5E4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A5E49"/>
    <w:pPr>
      <w:tabs>
        <w:tab w:val="center" w:pos="4513"/>
        <w:tab w:val="right" w:pos="9026"/>
      </w:tabs>
    </w:pPr>
  </w:style>
  <w:style w:type="character" w:customStyle="1" w:styleId="HeaderChar">
    <w:name w:val="Header Char"/>
    <w:basedOn w:val="DefaultParagraphFont"/>
    <w:link w:val="Header"/>
    <w:uiPriority w:val="99"/>
    <w:rsid w:val="00DA5E49"/>
  </w:style>
  <w:style w:type="paragraph" w:styleId="Footer">
    <w:name w:val="footer"/>
    <w:basedOn w:val="Normal"/>
    <w:link w:val="FooterChar"/>
    <w:uiPriority w:val="99"/>
    <w:unhideWhenUsed/>
    <w:rsid w:val="00DA5E49"/>
    <w:pPr>
      <w:tabs>
        <w:tab w:val="center" w:pos="4513"/>
        <w:tab w:val="right" w:pos="9026"/>
      </w:tabs>
    </w:pPr>
  </w:style>
  <w:style w:type="character" w:customStyle="1" w:styleId="FooterChar">
    <w:name w:val="Footer Char"/>
    <w:basedOn w:val="DefaultParagraphFont"/>
    <w:link w:val="Footer"/>
    <w:uiPriority w:val="99"/>
    <w:rsid w:val="00DA5E49"/>
  </w:style>
  <w:style w:type="paragraph" w:styleId="Title">
    <w:name w:val="Title"/>
    <w:basedOn w:val="Normal"/>
    <w:next w:val="Normal"/>
    <w:link w:val="TitleChar"/>
    <w:uiPriority w:val="10"/>
    <w:qFormat/>
    <w:rsid w:val="00DA5E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E4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A5E49"/>
    <w:rPr>
      <w:color w:val="0563C1" w:themeColor="hyperlink"/>
      <w:u w:val="single"/>
    </w:rPr>
  </w:style>
  <w:style w:type="character" w:customStyle="1" w:styleId="UnresolvedMention1">
    <w:name w:val="Unresolved Mention1"/>
    <w:basedOn w:val="DefaultParagraphFont"/>
    <w:uiPriority w:val="99"/>
    <w:semiHidden/>
    <w:unhideWhenUsed/>
    <w:rsid w:val="00DA5E49"/>
    <w:rPr>
      <w:color w:val="605E5C"/>
      <w:shd w:val="clear" w:color="auto" w:fill="E1DFDD"/>
    </w:rPr>
  </w:style>
  <w:style w:type="character" w:styleId="CommentReference">
    <w:name w:val="annotation reference"/>
    <w:basedOn w:val="DefaultParagraphFont"/>
    <w:uiPriority w:val="99"/>
    <w:semiHidden/>
    <w:unhideWhenUsed/>
    <w:rsid w:val="0057549E"/>
    <w:rPr>
      <w:sz w:val="16"/>
      <w:szCs w:val="16"/>
    </w:rPr>
  </w:style>
  <w:style w:type="paragraph" w:styleId="CommentText">
    <w:name w:val="annotation text"/>
    <w:basedOn w:val="Normal"/>
    <w:link w:val="CommentTextChar"/>
    <w:uiPriority w:val="99"/>
    <w:semiHidden/>
    <w:unhideWhenUsed/>
    <w:rsid w:val="0057549E"/>
    <w:rPr>
      <w:sz w:val="20"/>
      <w:szCs w:val="20"/>
    </w:rPr>
  </w:style>
  <w:style w:type="character" w:customStyle="1" w:styleId="CommentTextChar">
    <w:name w:val="Comment Text Char"/>
    <w:basedOn w:val="DefaultParagraphFont"/>
    <w:link w:val="CommentText"/>
    <w:uiPriority w:val="99"/>
    <w:semiHidden/>
    <w:rsid w:val="0057549E"/>
    <w:rPr>
      <w:sz w:val="20"/>
      <w:szCs w:val="20"/>
    </w:rPr>
  </w:style>
  <w:style w:type="paragraph" w:styleId="CommentSubject">
    <w:name w:val="annotation subject"/>
    <w:basedOn w:val="CommentText"/>
    <w:next w:val="CommentText"/>
    <w:link w:val="CommentSubjectChar"/>
    <w:uiPriority w:val="99"/>
    <w:semiHidden/>
    <w:unhideWhenUsed/>
    <w:rsid w:val="0057549E"/>
    <w:rPr>
      <w:b/>
      <w:bCs/>
    </w:rPr>
  </w:style>
  <w:style w:type="character" w:customStyle="1" w:styleId="CommentSubjectChar">
    <w:name w:val="Comment Subject Char"/>
    <w:basedOn w:val="CommentTextChar"/>
    <w:link w:val="CommentSubject"/>
    <w:uiPriority w:val="99"/>
    <w:semiHidden/>
    <w:rsid w:val="0057549E"/>
    <w:rPr>
      <w:b/>
      <w:bCs/>
      <w:sz w:val="20"/>
      <w:szCs w:val="20"/>
    </w:rPr>
  </w:style>
  <w:style w:type="paragraph" w:styleId="NormalWeb">
    <w:name w:val="Normal (Web)"/>
    <w:basedOn w:val="Normal"/>
    <w:uiPriority w:val="99"/>
    <w:semiHidden/>
    <w:unhideWhenUsed/>
    <w:rsid w:val="0037602B"/>
    <w:rPr>
      <w:rFonts w:ascii="Times New Roman" w:hAnsi="Times New Roman" w:cs="Times New Roman"/>
    </w:rPr>
  </w:style>
  <w:style w:type="paragraph" w:styleId="BalloonText">
    <w:name w:val="Balloon Text"/>
    <w:basedOn w:val="Normal"/>
    <w:link w:val="BalloonTextChar"/>
    <w:uiPriority w:val="99"/>
    <w:semiHidden/>
    <w:unhideWhenUsed/>
    <w:rsid w:val="00487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0B"/>
    <w:rPr>
      <w:rFonts w:ascii="Segoe UI" w:hAnsi="Segoe UI" w:cs="Segoe UI"/>
      <w:sz w:val="18"/>
      <w:szCs w:val="18"/>
    </w:rPr>
  </w:style>
  <w:style w:type="character" w:customStyle="1" w:styleId="UnresolvedMention">
    <w:name w:val="Unresolved Mention"/>
    <w:basedOn w:val="DefaultParagraphFont"/>
    <w:uiPriority w:val="99"/>
    <w:semiHidden/>
    <w:unhideWhenUsed/>
    <w:rsid w:val="006B0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2603">
      <w:bodyDiv w:val="1"/>
      <w:marLeft w:val="0"/>
      <w:marRight w:val="0"/>
      <w:marTop w:val="0"/>
      <w:marBottom w:val="0"/>
      <w:divBdr>
        <w:top w:val="none" w:sz="0" w:space="0" w:color="auto"/>
        <w:left w:val="none" w:sz="0" w:space="0" w:color="auto"/>
        <w:bottom w:val="none" w:sz="0" w:space="0" w:color="auto"/>
        <w:right w:val="none" w:sz="0" w:space="0" w:color="auto"/>
      </w:divBdr>
    </w:div>
    <w:div w:id="206837043">
      <w:bodyDiv w:val="1"/>
      <w:marLeft w:val="0"/>
      <w:marRight w:val="0"/>
      <w:marTop w:val="0"/>
      <w:marBottom w:val="0"/>
      <w:divBdr>
        <w:top w:val="none" w:sz="0" w:space="0" w:color="auto"/>
        <w:left w:val="none" w:sz="0" w:space="0" w:color="auto"/>
        <w:bottom w:val="none" w:sz="0" w:space="0" w:color="auto"/>
        <w:right w:val="none" w:sz="0" w:space="0" w:color="auto"/>
      </w:divBdr>
    </w:div>
    <w:div w:id="272712283">
      <w:bodyDiv w:val="1"/>
      <w:marLeft w:val="0"/>
      <w:marRight w:val="0"/>
      <w:marTop w:val="0"/>
      <w:marBottom w:val="0"/>
      <w:divBdr>
        <w:top w:val="none" w:sz="0" w:space="0" w:color="auto"/>
        <w:left w:val="none" w:sz="0" w:space="0" w:color="auto"/>
        <w:bottom w:val="none" w:sz="0" w:space="0" w:color="auto"/>
        <w:right w:val="none" w:sz="0" w:space="0" w:color="auto"/>
      </w:divBdr>
    </w:div>
    <w:div w:id="505098818">
      <w:bodyDiv w:val="1"/>
      <w:marLeft w:val="0"/>
      <w:marRight w:val="0"/>
      <w:marTop w:val="0"/>
      <w:marBottom w:val="0"/>
      <w:divBdr>
        <w:top w:val="none" w:sz="0" w:space="0" w:color="auto"/>
        <w:left w:val="none" w:sz="0" w:space="0" w:color="auto"/>
        <w:bottom w:val="none" w:sz="0" w:space="0" w:color="auto"/>
        <w:right w:val="none" w:sz="0" w:space="0" w:color="auto"/>
      </w:divBdr>
      <w:divsChild>
        <w:div w:id="1170490860">
          <w:marLeft w:val="0"/>
          <w:marRight w:val="0"/>
          <w:marTop w:val="0"/>
          <w:marBottom w:val="0"/>
          <w:divBdr>
            <w:top w:val="none" w:sz="0" w:space="0" w:color="auto"/>
            <w:left w:val="none" w:sz="0" w:space="0" w:color="auto"/>
            <w:bottom w:val="none" w:sz="0" w:space="0" w:color="auto"/>
            <w:right w:val="none" w:sz="0" w:space="0" w:color="auto"/>
          </w:divBdr>
          <w:divsChild>
            <w:div w:id="67265618">
              <w:marLeft w:val="0"/>
              <w:marRight w:val="0"/>
              <w:marTop w:val="0"/>
              <w:marBottom w:val="0"/>
              <w:divBdr>
                <w:top w:val="none" w:sz="0" w:space="0" w:color="auto"/>
                <w:left w:val="none" w:sz="0" w:space="0" w:color="auto"/>
                <w:bottom w:val="none" w:sz="0" w:space="0" w:color="auto"/>
                <w:right w:val="none" w:sz="0" w:space="0" w:color="auto"/>
              </w:divBdr>
              <w:divsChild>
                <w:div w:id="687559422">
                  <w:marLeft w:val="0"/>
                  <w:marRight w:val="0"/>
                  <w:marTop w:val="0"/>
                  <w:marBottom w:val="0"/>
                  <w:divBdr>
                    <w:top w:val="none" w:sz="0" w:space="0" w:color="auto"/>
                    <w:left w:val="none" w:sz="0" w:space="0" w:color="auto"/>
                    <w:bottom w:val="none" w:sz="0" w:space="0" w:color="auto"/>
                    <w:right w:val="none" w:sz="0" w:space="0" w:color="auto"/>
                  </w:divBdr>
                  <w:divsChild>
                    <w:div w:id="13497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93862">
      <w:bodyDiv w:val="1"/>
      <w:marLeft w:val="0"/>
      <w:marRight w:val="0"/>
      <w:marTop w:val="0"/>
      <w:marBottom w:val="0"/>
      <w:divBdr>
        <w:top w:val="none" w:sz="0" w:space="0" w:color="auto"/>
        <w:left w:val="none" w:sz="0" w:space="0" w:color="auto"/>
        <w:bottom w:val="none" w:sz="0" w:space="0" w:color="auto"/>
        <w:right w:val="none" w:sz="0" w:space="0" w:color="auto"/>
      </w:divBdr>
      <w:divsChild>
        <w:div w:id="1081171655">
          <w:marLeft w:val="0"/>
          <w:marRight w:val="0"/>
          <w:marTop w:val="0"/>
          <w:marBottom w:val="0"/>
          <w:divBdr>
            <w:top w:val="none" w:sz="0" w:space="0" w:color="auto"/>
            <w:left w:val="none" w:sz="0" w:space="0" w:color="auto"/>
            <w:bottom w:val="none" w:sz="0" w:space="0" w:color="auto"/>
            <w:right w:val="none" w:sz="0" w:space="0" w:color="auto"/>
          </w:divBdr>
          <w:divsChild>
            <w:div w:id="595403370">
              <w:marLeft w:val="0"/>
              <w:marRight w:val="0"/>
              <w:marTop w:val="0"/>
              <w:marBottom w:val="0"/>
              <w:divBdr>
                <w:top w:val="none" w:sz="0" w:space="0" w:color="auto"/>
                <w:left w:val="none" w:sz="0" w:space="0" w:color="auto"/>
                <w:bottom w:val="none" w:sz="0" w:space="0" w:color="auto"/>
                <w:right w:val="none" w:sz="0" w:space="0" w:color="auto"/>
              </w:divBdr>
              <w:divsChild>
                <w:div w:id="2066370353">
                  <w:marLeft w:val="0"/>
                  <w:marRight w:val="0"/>
                  <w:marTop w:val="0"/>
                  <w:marBottom w:val="0"/>
                  <w:divBdr>
                    <w:top w:val="none" w:sz="0" w:space="0" w:color="auto"/>
                    <w:left w:val="none" w:sz="0" w:space="0" w:color="auto"/>
                    <w:bottom w:val="none" w:sz="0" w:space="0" w:color="auto"/>
                    <w:right w:val="none" w:sz="0" w:space="0" w:color="auto"/>
                  </w:divBdr>
                  <w:divsChild>
                    <w:div w:id="18135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69680">
      <w:bodyDiv w:val="1"/>
      <w:marLeft w:val="0"/>
      <w:marRight w:val="0"/>
      <w:marTop w:val="0"/>
      <w:marBottom w:val="0"/>
      <w:divBdr>
        <w:top w:val="none" w:sz="0" w:space="0" w:color="auto"/>
        <w:left w:val="none" w:sz="0" w:space="0" w:color="auto"/>
        <w:bottom w:val="none" w:sz="0" w:space="0" w:color="auto"/>
        <w:right w:val="none" w:sz="0" w:space="0" w:color="auto"/>
      </w:divBdr>
    </w:div>
    <w:div w:id="847599965">
      <w:bodyDiv w:val="1"/>
      <w:marLeft w:val="0"/>
      <w:marRight w:val="0"/>
      <w:marTop w:val="0"/>
      <w:marBottom w:val="0"/>
      <w:divBdr>
        <w:top w:val="none" w:sz="0" w:space="0" w:color="auto"/>
        <w:left w:val="none" w:sz="0" w:space="0" w:color="auto"/>
        <w:bottom w:val="none" w:sz="0" w:space="0" w:color="auto"/>
        <w:right w:val="none" w:sz="0" w:space="0" w:color="auto"/>
      </w:divBdr>
    </w:div>
    <w:div w:id="1006593363">
      <w:bodyDiv w:val="1"/>
      <w:marLeft w:val="0"/>
      <w:marRight w:val="0"/>
      <w:marTop w:val="0"/>
      <w:marBottom w:val="0"/>
      <w:divBdr>
        <w:top w:val="none" w:sz="0" w:space="0" w:color="auto"/>
        <w:left w:val="none" w:sz="0" w:space="0" w:color="auto"/>
        <w:bottom w:val="none" w:sz="0" w:space="0" w:color="auto"/>
        <w:right w:val="none" w:sz="0" w:space="0" w:color="auto"/>
      </w:divBdr>
      <w:divsChild>
        <w:div w:id="670718483">
          <w:marLeft w:val="0"/>
          <w:marRight w:val="0"/>
          <w:marTop w:val="0"/>
          <w:marBottom w:val="0"/>
          <w:divBdr>
            <w:top w:val="none" w:sz="0" w:space="0" w:color="auto"/>
            <w:left w:val="none" w:sz="0" w:space="0" w:color="auto"/>
            <w:bottom w:val="none" w:sz="0" w:space="0" w:color="auto"/>
            <w:right w:val="none" w:sz="0" w:space="0" w:color="auto"/>
          </w:divBdr>
          <w:divsChild>
            <w:div w:id="1755399651">
              <w:marLeft w:val="0"/>
              <w:marRight w:val="0"/>
              <w:marTop w:val="0"/>
              <w:marBottom w:val="0"/>
              <w:divBdr>
                <w:top w:val="none" w:sz="0" w:space="0" w:color="auto"/>
                <w:left w:val="none" w:sz="0" w:space="0" w:color="auto"/>
                <w:bottom w:val="none" w:sz="0" w:space="0" w:color="auto"/>
                <w:right w:val="none" w:sz="0" w:space="0" w:color="auto"/>
              </w:divBdr>
              <w:divsChild>
                <w:div w:id="164102470">
                  <w:marLeft w:val="0"/>
                  <w:marRight w:val="0"/>
                  <w:marTop w:val="0"/>
                  <w:marBottom w:val="0"/>
                  <w:divBdr>
                    <w:top w:val="none" w:sz="0" w:space="0" w:color="auto"/>
                    <w:left w:val="none" w:sz="0" w:space="0" w:color="auto"/>
                    <w:bottom w:val="none" w:sz="0" w:space="0" w:color="auto"/>
                    <w:right w:val="none" w:sz="0" w:space="0" w:color="auto"/>
                  </w:divBdr>
                  <w:divsChild>
                    <w:div w:id="7952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40909">
      <w:bodyDiv w:val="1"/>
      <w:marLeft w:val="0"/>
      <w:marRight w:val="0"/>
      <w:marTop w:val="0"/>
      <w:marBottom w:val="0"/>
      <w:divBdr>
        <w:top w:val="none" w:sz="0" w:space="0" w:color="auto"/>
        <w:left w:val="none" w:sz="0" w:space="0" w:color="auto"/>
        <w:bottom w:val="none" w:sz="0" w:space="0" w:color="auto"/>
        <w:right w:val="none" w:sz="0" w:space="0" w:color="auto"/>
      </w:divBdr>
    </w:div>
    <w:div w:id="1350449205">
      <w:bodyDiv w:val="1"/>
      <w:marLeft w:val="0"/>
      <w:marRight w:val="0"/>
      <w:marTop w:val="0"/>
      <w:marBottom w:val="0"/>
      <w:divBdr>
        <w:top w:val="none" w:sz="0" w:space="0" w:color="auto"/>
        <w:left w:val="none" w:sz="0" w:space="0" w:color="auto"/>
        <w:bottom w:val="none" w:sz="0" w:space="0" w:color="auto"/>
        <w:right w:val="none" w:sz="0" w:space="0" w:color="auto"/>
      </w:divBdr>
    </w:div>
    <w:div w:id="1457481067">
      <w:bodyDiv w:val="1"/>
      <w:marLeft w:val="0"/>
      <w:marRight w:val="0"/>
      <w:marTop w:val="0"/>
      <w:marBottom w:val="0"/>
      <w:divBdr>
        <w:top w:val="none" w:sz="0" w:space="0" w:color="auto"/>
        <w:left w:val="none" w:sz="0" w:space="0" w:color="auto"/>
        <w:bottom w:val="none" w:sz="0" w:space="0" w:color="auto"/>
        <w:right w:val="none" w:sz="0" w:space="0" w:color="auto"/>
      </w:divBdr>
    </w:div>
    <w:div w:id="1463959643">
      <w:bodyDiv w:val="1"/>
      <w:marLeft w:val="0"/>
      <w:marRight w:val="0"/>
      <w:marTop w:val="0"/>
      <w:marBottom w:val="0"/>
      <w:divBdr>
        <w:top w:val="none" w:sz="0" w:space="0" w:color="auto"/>
        <w:left w:val="none" w:sz="0" w:space="0" w:color="auto"/>
        <w:bottom w:val="none" w:sz="0" w:space="0" w:color="auto"/>
        <w:right w:val="none" w:sz="0" w:space="0" w:color="auto"/>
      </w:divBdr>
      <w:divsChild>
        <w:div w:id="1428425017">
          <w:marLeft w:val="0"/>
          <w:marRight w:val="0"/>
          <w:marTop w:val="0"/>
          <w:marBottom w:val="0"/>
          <w:divBdr>
            <w:top w:val="none" w:sz="0" w:space="0" w:color="auto"/>
            <w:left w:val="none" w:sz="0" w:space="0" w:color="auto"/>
            <w:bottom w:val="none" w:sz="0" w:space="0" w:color="auto"/>
            <w:right w:val="none" w:sz="0" w:space="0" w:color="auto"/>
          </w:divBdr>
          <w:divsChild>
            <w:div w:id="575475051">
              <w:marLeft w:val="0"/>
              <w:marRight w:val="0"/>
              <w:marTop w:val="0"/>
              <w:marBottom w:val="0"/>
              <w:divBdr>
                <w:top w:val="none" w:sz="0" w:space="0" w:color="auto"/>
                <w:left w:val="none" w:sz="0" w:space="0" w:color="auto"/>
                <w:bottom w:val="none" w:sz="0" w:space="0" w:color="auto"/>
                <w:right w:val="none" w:sz="0" w:space="0" w:color="auto"/>
              </w:divBdr>
              <w:divsChild>
                <w:div w:id="1431857384">
                  <w:marLeft w:val="0"/>
                  <w:marRight w:val="0"/>
                  <w:marTop w:val="0"/>
                  <w:marBottom w:val="0"/>
                  <w:divBdr>
                    <w:top w:val="none" w:sz="0" w:space="0" w:color="auto"/>
                    <w:left w:val="none" w:sz="0" w:space="0" w:color="auto"/>
                    <w:bottom w:val="none" w:sz="0" w:space="0" w:color="auto"/>
                    <w:right w:val="none" w:sz="0" w:space="0" w:color="auto"/>
                  </w:divBdr>
                  <w:divsChild>
                    <w:div w:id="19167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4055">
      <w:bodyDiv w:val="1"/>
      <w:marLeft w:val="0"/>
      <w:marRight w:val="0"/>
      <w:marTop w:val="0"/>
      <w:marBottom w:val="0"/>
      <w:divBdr>
        <w:top w:val="none" w:sz="0" w:space="0" w:color="auto"/>
        <w:left w:val="none" w:sz="0" w:space="0" w:color="auto"/>
        <w:bottom w:val="none" w:sz="0" w:space="0" w:color="auto"/>
        <w:right w:val="none" w:sz="0" w:space="0" w:color="auto"/>
      </w:divBdr>
    </w:div>
    <w:div w:id="1598059149">
      <w:bodyDiv w:val="1"/>
      <w:marLeft w:val="0"/>
      <w:marRight w:val="0"/>
      <w:marTop w:val="0"/>
      <w:marBottom w:val="0"/>
      <w:divBdr>
        <w:top w:val="none" w:sz="0" w:space="0" w:color="auto"/>
        <w:left w:val="none" w:sz="0" w:space="0" w:color="auto"/>
        <w:bottom w:val="none" w:sz="0" w:space="0" w:color="auto"/>
        <w:right w:val="none" w:sz="0" w:space="0" w:color="auto"/>
      </w:divBdr>
    </w:div>
    <w:div w:id="1735275820">
      <w:bodyDiv w:val="1"/>
      <w:marLeft w:val="0"/>
      <w:marRight w:val="0"/>
      <w:marTop w:val="0"/>
      <w:marBottom w:val="0"/>
      <w:divBdr>
        <w:top w:val="none" w:sz="0" w:space="0" w:color="auto"/>
        <w:left w:val="none" w:sz="0" w:space="0" w:color="auto"/>
        <w:bottom w:val="none" w:sz="0" w:space="0" w:color="auto"/>
        <w:right w:val="none" w:sz="0" w:space="0" w:color="auto"/>
      </w:divBdr>
    </w:div>
    <w:div w:id="1803422932">
      <w:bodyDiv w:val="1"/>
      <w:marLeft w:val="0"/>
      <w:marRight w:val="0"/>
      <w:marTop w:val="0"/>
      <w:marBottom w:val="0"/>
      <w:divBdr>
        <w:top w:val="none" w:sz="0" w:space="0" w:color="auto"/>
        <w:left w:val="none" w:sz="0" w:space="0" w:color="auto"/>
        <w:bottom w:val="none" w:sz="0" w:space="0" w:color="auto"/>
        <w:right w:val="none" w:sz="0" w:space="0" w:color="auto"/>
      </w:divBdr>
      <w:divsChild>
        <w:div w:id="2020423410">
          <w:marLeft w:val="0"/>
          <w:marRight w:val="0"/>
          <w:marTop w:val="0"/>
          <w:marBottom w:val="0"/>
          <w:divBdr>
            <w:top w:val="none" w:sz="0" w:space="0" w:color="auto"/>
            <w:left w:val="none" w:sz="0" w:space="0" w:color="auto"/>
            <w:bottom w:val="none" w:sz="0" w:space="0" w:color="auto"/>
            <w:right w:val="none" w:sz="0" w:space="0" w:color="auto"/>
          </w:divBdr>
          <w:divsChild>
            <w:div w:id="1738625720">
              <w:marLeft w:val="0"/>
              <w:marRight w:val="0"/>
              <w:marTop w:val="0"/>
              <w:marBottom w:val="0"/>
              <w:divBdr>
                <w:top w:val="none" w:sz="0" w:space="0" w:color="auto"/>
                <w:left w:val="none" w:sz="0" w:space="0" w:color="auto"/>
                <w:bottom w:val="none" w:sz="0" w:space="0" w:color="auto"/>
                <w:right w:val="none" w:sz="0" w:space="0" w:color="auto"/>
              </w:divBdr>
              <w:divsChild>
                <w:div w:id="751393634">
                  <w:marLeft w:val="0"/>
                  <w:marRight w:val="0"/>
                  <w:marTop w:val="0"/>
                  <w:marBottom w:val="0"/>
                  <w:divBdr>
                    <w:top w:val="none" w:sz="0" w:space="0" w:color="auto"/>
                    <w:left w:val="none" w:sz="0" w:space="0" w:color="auto"/>
                    <w:bottom w:val="none" w:sz="0" w:space="0" w:color="auto"/>
                    <w:right w:val="none" w:sz="0" w:space="0" w:color="auto"/>
                  </w:divBdr>
                  <w:divsChild>
                    <w:div w:id="15477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12536">
      <w:bodyDiv w:val="1"/>
      <w:marLeft w:val="0"/>
      <w:marRight w:val="0"/>
      <w:marTop w:val="0"/>
      <w:marBottom w:val="0"/>
      <w:divBdr>
        <w:top w:val="none" w:sz="0" w:space="0" w:color="auto"/>
        <w:left w:val="none" w:sz="0" w:space="0" w:color="auto"/>
        <w:bottom w:val="none" w:sz="0" w:space="0" w:color="auto"/>
        <w:right w:val="none" w:sz="0" w:space="0" w:color="auto"/>
      </w:divBdr>
    </w:div>
    <w:div w:id="1924602916">
      <w:bodyDiv w:val="1"/>
      <w:marLeft w:val="0"/>
      <w:marRight w:val="0"/>
      <w:marTop w:val="0"/>
      <w:marBottom w:val="0"/>
      <w:divBdr>
        <w:top w:val="none" w:sz="0" w:space="0" w:color="auto"/>
        <w:left w:val="none" w:sz="0" w:space="0" w:color="auto"/>
        <w:bottom w:val="none" w:sz="0" w:space="0" w:color="auto"/>
        <w:right w:val="none" w:sz="0" w:space="0" w:color="auto"/>
      </w:divBdr>
      <w:divsChild>
        <w:div w:id="760875485">
          <w:marLeft w:val="0"/>
          <w:marRight w:val="0"/>
          <w:marTop w:val="0"/>
          <w:marBottom w:val="0"/>
          <w:divBdr>
            <w:top w:val="none" w:sz="0" w:space="0" w:color="auto"/>
            <w:left w:val="none" w:sz="0" w:space="0" w:color="auto"/>
            <w:bottom w:val="none" w:sz="0" w:space="0" w:color="auto"/>
            <w:right w:val="none" w:sz="0" w:space="0" w:color="auto"/>
          </w:divBdr>
          <w:divsChild>
            <w:div w:id="1033000583">
              <w:marLeft w:val="0"/>
              <w:marRight w:val="0"/>
              <w:marTop w:val="0"/>
              <w:marBottom w:val="0"/>
              <w:divBdr>
                <w:top w:val="none" w:sz="0" w:space="0" w:color="auto"/>
                <w:left w:val="none" w:sz="0" w:space="0" w:color="auto"/>
                <w:bottom w:val="none" w:sz="0" w:space="0" w:color="auto"/>
                <w:right w:val="none" w:sz="0" w:space="0" w:color="auto"/>
              </w:divBdr>
              <w:divsChild>
                <w:div w:id="991442686">
                  <w:marLeft w:val="0"/>
                  <w:marRight w:val="0"/>
                  <w:marTop w:val="0"/>
                  <w:marBottom w:val="0"/>
                  <w:divBdr>
                    <w:top w:val="none" w:sz="0" w:space="0" w:color="auto"/>
                    <w:left w:val="none" w:sz="0" w:space="0" w:color="auto"/>
                    <w:bottom w:val="none" w:sz="0" w:space="0" w:color="auto"/>
                    <w:right w:val="none" w:sz="0" w:space="0" w:color="auto"/>
                  </w:divBdr>
                  <w:divsChild>
                    <w:div w:id="18797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hchr.org/Documents/HRBodies/UPR/Emerging_UPR_GoodPractic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hchr.org/EN/HRBodies/UPR/Pages/UPRImplement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HRBodies/UPR/Pages/CyclesUPR.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hchr.org/en/hrbodies/upr/pages/uprmai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7a6521e-3bb8-4ccc-a7e1-cb34b7e3d81d">
      <UserInfo>
        <DisplayName>Nancy Polutan-Teulieres</DisplayName>
        <AccountId>168</AccountId>
        <AccountType/>
      </UserInfo>
      <UserInfo>
        <DisplayName>Celine Maret</DisplayName>
        <AccountId>1239</AccountId>
        <AccountType/>
      </UserInfo>
      <UserInfo>
        <DisplayName>Peter Swiniarski</DisplayName>
        <AccountId>14</AccountId>
        <AccountType/>
      </UserInfo>
      <UserInfo>
        <DisplayName>Martina Caterina</DisplayName>
        <AccountId>196</AccountId>
        <AccountType/>
      </UserInfo>
    </SharedWithUsers>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Props1.xml><?xml version="1.0" encoding="utf-8"?>
<ds:datastoreItem xmlns:ds="http://schemas.openxmlformats.org/officeDocument/2006/customXml" ds:itemID="{0B02AD92-C130-4565-8379-4D6B1CB9456A}">
  <ds:schemaRefs>
    <ds:schemaRef ds:uri="http://schemas.microsoft.com/sharepoint/v3/contenttype/forms"/>
  </ds:schemaRefs>
</ds:datastoreItem>
</file>

<file path=customXml/itemProps2.xml><?xml version="1.0" encoding="utf-8"?>
<ds:datastoreItem xmlns:ds="http://schemas.openxmlformats.org/officeDocument/2006/customXml" ds:itemID="{0172FC6F-02FD-44A8-869D-FBBB1E38F0D8}"/>
</file>

<file path=customXml/itemProps3.xml><?xml version="1.0" encoding="utf-8"?>
<ds:datastoreItem xmlns:ds="http://schemas.openxmlformats.org/officeDocument/2006/customXml" ds:itemID="{680F895D-3ED3-4B10-82AA-3E3B1F4E889E}">
  <ds:schemaRefs>
    <ds:schemaRef ds:uri="http://schemas.microsoft.com/office/2006/metadata/properties"/>
    <ds:schemaRef ds:uri="http://schemas.microsoft.com/office/infopath/2007/PartnerControls"/>
    <ds:schemaRef ds:uri="f3c5914b-f836-4f8a-87ca-6de4087dd0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Luciani</dc:creator>
  <cp:keywords/>
  <dc:description/>
  <cp:lastModifiedBy>Cecile</cp:lastModifiedBy>
  <cp:revision>2</cp:revision>
  <dcterms:created xsi:type="dcterms:W3CDTF">2022-05-20T07:59:00Z</dcterms:created>
  <dcterms:modified xsi:type="dcterms:W3CDTF">2022-05-20T07:59:00Z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ies>
</file>