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54550" w14:textId="77777777" w:rsidR="00FF153E" w:rsidRDefault="00E91523">
      <w:pPr>
        <w:pStyle w:val="Heading1"/>
        <w:tabs>
          <w:tab w:val="left" w:pos="4917"/>
        </w:tabs>
        <w:spacing w:before="67"/>
      </w:pPr>
      <w:bookmarkStart w:id="0" w:name="_GoBack"/>
      <w:bookmarkEnd w:id="0"/>
      <w:r>
        <w:rPr>
          <w:b w:val="0"/>
          <w:noProof/>
          <w:position w:val="-34"/>
        </w:rPr>
        <w:drawing>
          <wp:inline distT="0" distB="0" distL="0" distR="0" wp14:anchorId="70C155C5" wp14:editId="44044D98">
            <wp:extent cx="460498" cy="3748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60498" cy="374897"/>
                    </a:xfrm>
                    <a:prstGeom prst="rect">
                      <a:avLst/>
                    </a:prstGeom>
                  </pic:spPr>
                </pic:pic>
              </a:graphicData>
            </a:graphic>
          </wp:inline>
        </w:drawing>
      </w:r>
      <w:r>
        <w:rPr>
          <w:rFonts w:ascii="Times New Roman"/>
          <w:b w:val="0"/>
          <w:sz w:val="20"/>
        </w:rPr>
        <w:tab/>
      </w:r>
      <w:r>
        <w:rPr>
          <w:rFonts w:ascii="Times New Roman"/>
          <w:b w:val="0"/>
          <w:spacing w:val="-10"/>
          <w:sz w:val="20"/>
        </w:rPr>
        <w:t xml:space="preserve"> </w:t>
      </w:r>
      <w:r>
        <w:t>Referral Pathway Guidance</w:t>
      </w:r>
      <w:r>
        <w:rPr>
          <w:spacing w:val="-9"/>
        </w:rPr>
        <w:t xml:space="preserve"> </w:t>
      </w:r>
      <w:r>
        <w:t>Note</w:t>
      </w:r>
    </w:p>
    <w:p w14:paraId="3C10D40C" w14:textId="7B945559" w:rsidR="00FF153E" w:rsidRDefault="00E91523">
      <w:pPr>
        <w:spacing w:before="32"/>
        <w:ind w:left="4432" w:right="4449"/>
        <w:jc w:val="center"/>
        <w:rPr>
          <w:b/>
          <w:sz w:val="28"/>
        </w:rPr>
      </w:pPr>
      <w:r>
        <w:rPr>
          <w:b/>
          <w:sz w:val="28"/>
        </w:rPr>
        <w:t xml:space="preserve">Protection </w:t>
      </w:r>
      <w:r w:rsidR="00D47036">
        <w:rPr>
          <w:b/>
          <w:sz w:val="28"/>
        </w:rPr>
        <w:t xml:space="preserve">Cluster, Cabo Delgado </w:t>
      </w:r>
    </w:p>
    <w:p w14:paraId="6CA39CDC" w14:textId="77777777" w:rsidR="00FF153E" w:rsidRDefault="00FF153E">
      <w:pPr>
        <w:pStyle w:val="BodyText"/>
        <w:rPr>
          <w:b/>
        </w:rPr>
      </w:pPr>
    </w:p>
    <w:p w14:paraId="5BC58F38" w14:textId="77777777" w:rsidR="00FF153E" w:rsidRDefault="00FF153E">
      <w:pPr>
        <w:pStyle w:val="BodyText"/>
        <w:spacing w:before="10"/>
        <w:rPr>
          <w:b/>
          <w:sz w:val="19"/>
        </w:rPr>
      </w:pPr>
    </w:p>
    <w:p w14:paraId="45143561" w14:textId="2035E586" w:rsidR="00FF153E" w:rsidRDefault="00E91523">
      <w:pPr>
        <w:pStyle w:val="BodyText"/>
        <w:ind w:left="100" w:right="116"/>
        <w:jc w:val="both"/>
      </w:pPr>
      <w:r>
        <w:t>A</w:t>
      </w:r>
      <w:r>
        <w:rPr>
          <w:spacing w:val="-3"/>
        </w:rPr>
        <w:t xml:space="preserve"> </w:t>
      </w:r>
      <w:r>
        <w:t>referral</w:t>
      </w:r>
      <w:r>
        <w:rPr>
          <w:spacing w:val="-4"/>
        </w:rPr>
        <w:t xml:space="preserve"> </w:t>
      </w:r>
      <w:r>
        <w:t>is</w:t>
      </w:r>
      <w:r>
        <w:rPr>
          <w:spacing w:val="-1"/>
        </w:rPr>
        <w:t xml:space="preserve"> </w:t>
      </w:r>
      <w:r>
        <w:t>the</w:t>
      </w:r>
      <w:r>
        <w:rPr>
          <w:spacing w:val="-1"/>
        </w:rPr>
        <w:t xml:space="preserve"> </w:t>
      </w:r>
      <w:r>
        <w:t>process</w:t>
      </w:r>
      <w:r>
        <w:rPr>
          <w:spacing w:val="-1"/>
        </w:rPr>
        <w:t xml:space="preserve"> </w:t>
      </w:r>
      <w:r>
        <w:t>of</w:t>
      </w:r>
      <w:r>
        <w:rPr>
          <w:spacing w:val="-1"/>
        </w:rPr>
        <w:t xml:space="preserve"> </w:t>
      </w:r>
      <w:r>
        <w:t>directing</w:t>
      </w:r>
      <w:r>
        <w:rPr>
          <w:spacing w:val="-2"/>
        </w:rPr>
        <w:t xml:space="preserve"> </w:t>
      </w:r>
      <w:r>
        <w:t>a</w:t>
      </w:r>
      <w:r>
        <w:rPr>
          <w:spacing w:val="-3"/>
        </w:rPr>
        <w:t xml:space="preserve"> </w:t>
      </w:r>
      <w:r>
        <w:t>client</w:t>
      </w:r>
      <w:r>
        <w:rPr>
          <w:spacing w:val="-2"/>
        </w:rPr>
        <w:t xml:space="preserve"> </w:t>
      </w:r>
      <w:r>
        <w:t>to</w:t>
      </w:r>
      <w:r>
        <w:rPr>
          <w:spacing w:val="-3"/>
        </w:rPr>
        <w:t xml:space="preserve"> </w:t>
      </w:r>
      <w:r>
        <w:t>another service</w:t>
      </w:r>
      <w:r>
        <w:rPr>
          <w:spacing w:val="-2"/>
        </w:rPr>
        <w:t xml:space="preserve"> </w:t>
      </w:r>
      <w:r>
        <w:t>provider</w:t>
      </w:r>
      <w:r>
        <w:rPr>
          <w:spacing w:val="-2"/>
        </w:rPr>
        <w:t xml:space="preserve"> </w:t>
      </w:r>
      <w:r>
        <w:t>because</w:t>
      </w:r>
      <w:r>
        <w:rPr>
          <w:spacing w:val="-2"/>
        </w:rPr>
        <w:t xml:space="preserve"> </w:t>
      </w:r>
      <w:r>
        <w:t>s/he</w:t>
      </w:r>
      <w:r>
        <w:rPr>
          <w:spacing w:val="-3"/>
        </w:rPr>
        <w:t xml:space="preserve"> </w:t>
      </w:r>
      <w:r>
        <w:t>requires</w:t>
      </w:r>
      <w:r>
        <w:rPr>
          <w:spacing w:val="-1"/>
        </w:rPr>
        <w:t xml:space="preserve"> </w:t>
      </w:r>
      <w:r>
        <w:t>help</w:t>
      </w:r>
      <w:r>
        <w:rPr>
          <w:spacing w:val="-3"/>
        </w:rPr>
        <w:t xml:space="preserve"> </w:t>
      </w:r>
      <w:r>
        <w:t>that is</w:t>
      </w:r>
      <w:r>
        <w:rPr>
          <w:spacing w:val="-2"/>
        </w:rPr>
        <w:t xml:space="preserve"> </w:t>
      </w:r>
      <w:r>
        <w:t>beyond</w:t>
      </w:r>
      <w:r>
        <w:rPr>
          <w:spacing w:val="-2"/>
        </w:rPr>
        <w:t xml:space="preserve"> </w:t>
      </w:r>
      <w:r>
        <w:t>the</w:t>
      </w:r>
      <w:r>
        <w:rPr>
          <w:spacing w:val="-3"/>
        </w:rPr>
        <w:t xml:space="preserve"> </w:t>
      </w:r>
      <w:r>
        <w:t>expertise</w:t>
      </w:r>
      <w:r>
        <w:rPr>
          <w:spacing w:val="-3"/>
        </w:rPr>
        <w:t xml:space="preserve"> </w:t>
      </w:r>
      <w:r>
        <w:t>or</w:t>
      </w:r>
      <w:r>
        <w:rPr>
          <w:spacing w:val="-1"/>
        </w:rPr>
        <w:t xml:space="preserve"> </w:t>
      </w:r>
      <w:r>
        <w:t>scope</w:t>
      </w:r>
      <w:r>
        <w:rPr>
          <w:spacing w:val="-1"/>
        </w:rPr>
        <w:t xml:space="preserve"> </w:t>
      </w:r>
      <w:r>
        <w:t>of work</w:t>
      </w:r>
      <w:r>
        <w:rPr>
          <w:spacing w:val="1"/>
        </w:rPr>
        <w:t xml:space="preserve"> </w:t>
      </w:r>
      <w:r>
        <w:t>of the</w:t>
      </w:r>
      <w:r>
        <w:rPr>
          <w:spacing w:val="-3"/>
        </w:rPr>
        <w:t xml:space="preserve"> </w:t>
      </w:r>
      <w:r>
        <w:t>current service provider</w:t>
      </w:r>
      <w:r w:rsidR="00CF3BE1">
        <w:t>/organization</w:t>
      </w:r>
      <w:r>
        <w:t xml:space="preserve">. A referral can be made to a variety of services, for example health, psychosocial activities, protection services, nutrition, education, shelter, material or financial assistance, physical rehabilitation, community </w:t>
      </w:r>
      <w:proofErr w:type="spellStart"/>
      <w:r>
        <w:t>centre</w:t>
      </w:r>
      <w:proofErr w:type="spellEnd"/>
      <w:r>
        <w:t xml:space="preserve"> and/ or a social service</w:t>
      </w:r>
      <w:r>
        <w:rPr>
          <w:spacing w:val="-15"/>
        </w:rPr>
        <w:t xml:space="preserve"> </w:t>
      </w:r>
      <w:r>
        <w:t>agency.</w:t>
      </w:r>
      <w:r w:rsidR="00CF3BE1">
        <w:t xml:space="preserve"> However, it is preferred that, if possible, the referral is made to a case management services as such services are ‘entry points’ for specific types of cases (</w:t>
      </w:r>
      <w:proofErr w:type="spellStart"/>
      <w:r w:rsidR="00CF3BE1">
        <w:t>e.g</w:t>
      </w:r>
      <w:proofErr w:type="spellEnd"/>
      <w:r w:rsidR="00CF3BE1">
        <w:t xml:space="preserve"> GBV, child protection, protection, MHPSS, etc.) and are responsible for connecting the case with other services in the referral pathway as needed and desired by the case. </w:t>
      </w:r>
    </w:p>
    <w:p w14:paraId="3350A281" w14:textId="77777777" w:rsidR="00FF153E" w:rsidRDefault="00FF153E">
      <w:pPr>
        <w:pStyle w:val="BodyText"/>
        <w:rPr>
          <w:sz w:val="22"/>
        </w:rPr>
      </w:pPr>
    </w:p>
    <w:p w14:paraId="377707A7" w14:textId="77777777" w:rsidR="00FF153E" w:rsidRDefault="00FF153E">
      <w:pPr>
        <w:pStyle w:val="BodyText"/>
        <w:rPr>
          <w:sz w:val="18"/>
        </w:rPr>
      </w:pPr>
    </w:p>
    <w:p w14:paraId="6C6D74DF" w14:textId="77777777" w:rsidR="00FF153E" w:rsidRDefault="00E91523">
      <w:pPr>
        <w:pStyle w:val="Heading2"/>
        <w:jc w:val="both"/>
      </w:pPr>
      <w:r>
        <w:t>Guiding Principles</w:t>
      </w:r>
    </w:p>
    <w:p w14:paraId="3E297BBC" w14:textId="77777777" w:rsidR="00FF153E" w:rsidRDefault="00FF153E">
      <w:pPr>
        <w:pStyle w:val="BodyText"/>
        <w:spacing w:before="5"/>
        <w:rPr>
          <w:b/>
          <w:sz w:val="23"/>
        </w:rPr>
      </w:pPr>
    </w:p>
    <w:p w14:paraId="587CA45A" w14:textId="2A4A5D44" w:rsidR="00FF153E" w:rsidRDefault="00E91523">
      <w:pPr>
        <w:pStyle w:val="BodyText"/>
        <w:ind w:left="100"/>
        <w:jc w:val="both"/>
      </w:pPr>
      <w:r>
        <w:t xml:space="preserve">In order </w:t>
      </w:r>
      <w:r w:rsidR="00CF3BE1">
        <w:t xml:space="preserve">to safely and timely refer cases and avoiding causing harm </w:t>
      </w:r>
      <w:r>
        <w:t>to the individual/community in need of assistance, the referral needs to respect at all times the following principles:</w:t>
      </w:r>
    </w:p>
    <w:p w14:paraId="40B9EE5B" w14:textId="77777777" w:rsidR="00FF153E" w:rsidRDefault="00FF153E">
      <w:pPr>
        <w:pStyle w:val="BodyText"/>
        <w:spacing w:before="10"/>
        <w:rPr>
          <w:sz w:val="19"/>
        </w:rPr>
      </w:pPr>
    </w:p>
    <w:p w14:paraId="37F9F4D9" w14:textId="0D075524" w:rsidR="00FF153E" w:rsidRDefault="00E91523">
      <w:pPr>
        <w:pStyle w:val="ListParagraph"/>
        <w:numPr>
          <w:ilvl w:val="0"/>
          <w:numId w:val="2"/>
        </w:numPr>
        <w:tabs>
          <w:tab w:val="left" w:pos="460"/>
        </w:tabs>
        <w:ind w:right="113"/>
        <w:jc w:val="both"/>
        <w:rPr>
          <w:sz w:val="20"/>
        </w:rPr>
      </w:pPr>
      <w:r>
        <w:rPr>
          <w:b/>
          <w:sz w:val="20"/>
        </w:rPr>
        <w:t xml:space="preserve">Confidentiality: </w:t>
      </w:r>
      <w:r>
        <w:rPr>
          <w:sz w:val="20"/>
        </w:rPr>
        <w:t xml:space="preserve">The principle of confidentiality requires all interlocutors to protect information disclosed or gathered in relation to any individual and to ensure that information is made accessible to a third party (i.e. service providers) only with the individual’s explicit </w:t>
      </w:r>
      <w:r w:rsidR="00CF3BE1">
        <w:rPr>
          <w:sz w:val="20"/>
        </w:rPr>
        <w:t>informed consent</w:t>
      </w:r>
      <w:r>
        <w:rPr>
          <w:sz w:val="20"/>
        </w:rPr>
        <w:t xml:space="preserve">. This includes ensuring that collecting, storing and sharing information on individual cases is conducted in a safe way and according to agreed-upon data protection policies. </w:t>
      </w:r>
    </w:p>
    <w:p w14:paraId="0B32EFDE" w14:textId="77777777" w:rsidR="00FF153E" w:rsidRDefault="00FF153E">
      <w:pPr>
        <w:pStyle w:val="BodyText"/>
      </w:pPr>
    </w:p>
    <w:p w14:paraId="3C28D29E" w14:textId="58004072" w:rsidR="00FF153E" w:rsidRDefault="00E91523">
      <w:pPr>
        <w:pStyle w:val="ListParagraph"/>
        <w:numPr>
          <w:ilvl w:val="0"/>
          <w:numId w:val="2"/>
        </w:numPr>
        <w:tabs>
          <w:tab w:val="left" w:pos="460"/>
        </w:tabs>
        <w:spacing w:line="242" w:lineRule="auto"/>
        <w:ind w:right="120"/>
        <w:jc w:val="both"/>
        <w:rPr>
          <w:sz w:val="20"/>
        </w:rPr>
      </w:pPr>
      <w:r>
        <w:rPr>
          <w:b/>
          <w:sz w:val="20"/>
        </w:rPr>
        <w:t>Consent:</w:t>
      </w:r>
      <w:r>
        <w:rPr>
          <w:b/>
          <w:spacing w:val="-5"/>
          <w:sz w:val="20"/>
        </w:rPr>
        <w:t xml:space="preserve"> </w:t>
      </w:r>
      <w:r>
        <w:rPr>
          <w:sz w:val="20"/>
        </w:rPr>
        <w:t>Referrals</w:t>
      </w:r>
      <w:r>
        <w:rPr>
          <w:spacing w:val="-6"/>
          <w:sz w:val="20"/>
        </w:rPr>
        <w:t xml:space="preserve"> </w:t>
      </w:r>
      <w:r>
        <w:rPr>
          <w:sz w:val="20"/>
        </w:rPr>
        <w:t>should</w:t>
      </w:r>
      <w:r>
        <w:rPr>
          <w:spacing w:val="-5"/>
          <w:sz w:val="20"/>
        </w:rPr>
        <w:t xml:space="preserve"> </w:t>
      </w:r>
      <w:r>
        <w:rPr>
          <w:sz w:val="20"/>
        </w:rPr>
        <w:t>only</w:t>
      </w:r>
      <w:r>
        <w:rPr>
          <w:spacing w:val="-10"/>
          <w:sz w:val="20"/>
        </w:rPr>
        <w:t xml:space="preserve"> </w:t>
      </w:r>
      <w:r>
        <w:rPr>
          <w:sz w:val="20"/>
        </w:rPr>
        <w:t>take</w:t>
      </w:r>
      <w:r>
        <w:rPr>
          <w:spacing w:val="-7"/>
          <w:sz w:val="20"/>
        </w:rPr>
        <w:t xml:space="preserve"> </w:t>
      </w:r>
      <w:r>
        <w:rPr>
          <w:sz w:val="20"/>
        </w:rPr>
        <w:t>place</w:t>
      </w:r>
      <w:r>
        <w:rPr>
          <w:spacing w:val="-6"/>
          <w:sz w:val="20"/>
        </w:rPr>
        <w:t xml:space="preserve"> </w:t>
      </w:r>
      <w:r>
        <w:rPr>
          <w:sz w:val="20"/>
        </w:rPr>
        <w:t>once</w:t>
      </w:r>
      <w:r>
        <w:rPr>
          <w:spacing w:val="-7"/>
          <w:sz w:val="20"/>
        </w:rPr>
        <w:t xml:space="preserve"> </w:t>
      </w:r>
      <w:r>
        <w:rPr>
          <w:sz w:val="20"/>
        </w:rPr>
        <w:t>the</w:t>
      </w:r>
      <w:r>
        <w:rPr>
          <w:spacing w:val="-5"/>
          <w:sz w:val="20"/>
        </w:rPr>
        <w:t xml:space="preserve"> </w:t>
      </w:r>
      <w:r>
        <w:rPr>
          <w:sz w:val="20"/>
        </w:rPr>
        <w:t>individual</w:t>
      </w:r>
      <w:r>
        <w:rPr>
          <w:spacing w:val="-6"/>
          <w:sz w:val="20"/>
        </w:rPr>
        <w:t xml:space="preserve"> </w:t>
      </w:r>
      <w:r>
        <w:rPr>
          <w:sz w:val="20"/>
        </w:rPr>
        <w:t>has</w:t>
      </w:r>
      <w:r>
        <w:rPr>
          <w:spacing w:val="-6"/>
          <w:sz w:val="20"/>
        </w:rPr>
        <w:t xml:space="preserve"> </w:t>
      </w:r>
      <w:r>
        <w:rPr>
          <w:sz w:val="20"/>
        </w:rPr>
        <w:t>given</w:t>
      </w:r>
      <w:r>
        <w:rPr>
          <w:spacing w:val="-5"/>
          <w:sz w:val="20"/>
        </w:rPr>
        <w:t xml:space="preserve"> </w:t>
      </w:r>
      <w:r>
        <w:rPr>
          <w:sz w:val="20"/>
        </w:rPr>
        <w:t>their</w:t>
      </w:r>
      <w:r>
        <w:rPr>
          <w:spacing w:val="-7"/>
          <w:sz w:val="20"/>
        </w:rPr>
        <w:t xml:space="preserve"> </w:t>
      </w:r>
      <w:r>
        <w:rPr>
          <w:sz w:val="20"/>
        </w:rPr>
        <w:t>informed</w:t>
      </w:r>
      <w:r>
        <w:rPr>
          <w:spacing w:val="-7"/>
          <w:sz w:val="20"/>
        </w:rPr>
        <w:t xml:space="preserve"> </w:t>
      </w:r>
      <w:r>
        <w:rPr>
          <w:sz w:val="20"/>
        </w:rPr>
        <w:t>consent.</w:t>
      </w:r>
      <w:r>
        <w:rPr>
          <w:spacing w:val="-7"/>
          <w:sz w:val="20"/>
        </w:rPr>
        <w:t xml:space="preserve"> </w:t>
      </w:r>
      <w:r>
        <w:rPr>
          <w:sz w:val="20"/>
        </w:rPr>
        <w:t>The</w:t>
      </w:r>
      <w:r>
        <w:rPr>
          <w:spacing w:val="-7"/>
          <w:sz w:val="20"/>
        </w:rPr>
        <w:t xml:space="preserve"> </w:t>
      </w:r>
      <w:r>
        <w:rPr>
          <w:sz w:val="20"/>
        </w:rPr>
        <w:t>individual</w:t>
      </w:r>
      <w:r>
        <w:rPr>
          <w:spacing w:val="-8"/>
          <w:sz w:val="20"/>
        </w:rPr>
        <w:t xml:space="preserve"> </w:t>
      </w:r>
      <w:r>
        <w:rPr>
          <w:sz w:val="20"/>
        </w:rPr>
        <w:t>has</w:t>
      </w:r>
      <w:r>
        <w:rPr>
          <w:spacing w:val="-6"/>
          <w:sz w:val="20"/>
        </w:rPr>
        <w:t xml:space="preserve"> </w:t>
      </w:r>
      <w:r>
        <w:rPr>
          <w:sz w:val="20"/>
        </w:rPr>
        <w:t>the</w:t>
      </w:r>
      <w:r>
        <w:rPr>
          <w:spacing w:val="-8"/>
          <w:sz w:val="20"/>
        </w:rPr>
        <w:t xml:space="preserve"> </w:t>
      </w:r>
      <w:r>
        <w:rPr>
          <w:sz w:val="20"/>
        </w:rPr>
        <w:t>right</w:t>
      </w:r>
      <w:r>
        <w:rPr>
          <w:spacing w:val="-5"/>
          <w:sz w:val="20"/>
        </w:rPr>
        <w:t xml:space="preserve"> </w:t>
      </w:r>
      <w:r>
        <w:rPr>
          <w:sz w:val="20"/>
        </w:rPr>
        <w:t>to</w:t>
      </w:r>
      <w:r>
        <w:rPr>
          <w:spacing w:val="-5"/>
          <w:sz w:val="20"/>
        </w:rPr>
        <w:t xml:space="preserve"> </w:t>
      </w:r>
      <w:r>
        <w:rPr>
          <w:sz w:val="20"/>
        </w:rPr>
        <w:t>limit</w:t>
      </w:r>
      <w:r>
        <w:rPr>
          <w:spacing w:val="-7"/>
          <w:sz w:val="20"/>
        </w:rPr>
        <w:t xml:space="preserve"> </w:t>
      </w:r>
      <w:r>
        <w:rPr>
          <w:sz w:val="20"/>
        </w:rPr>
        <w:t>information</w:t>
      </w:r>
      <w:r>
        <w:rPr>
          <w:spacing w:val="-7"/>
          <w:sz w:val="20"/>
        </w:rPr>
        <w:t xml:space="preserve"> </w:t>
      </w:r>
      <w:r>
        <w:rPr>
          <w:sz w:val="20"/>
        </w:rPr>
        <w:t>s/he</w:t>
      </w:r>
      <w:r>
        <w:rPr>
          <w:spacing w:val="-3"/>
          <w:sz w:val="20"/>
        </w:rPr>
        <w:t xml:space="preserve"> </w:t>
      </w:r>
      <w:r>
        <w:rPr>
          <w:sz w:val="20"/>
        </w:rPr>
        <w:t>wishes to disclose and persons with whom information will be</w:t>
      </w:r>
      <w:r>
        <w:rPr>
          <w:spacing w:val="4"/>
          <w:sz w:val="20"/>
        </w:rPr>
        <w:t xml:space="preserve"> </w:t>
      </w:r>
      <w:r>
        <w:rPr>
          <w:sz w:val="20"/>
        </w:rPr>
        <w:t>shared.</w:t>
      </w:r>
      <w:r w:rsidR="00CF3BE1" w:rsidRPr="00CF3BE1">
        <w:t xml:space="preserve"> </w:t>
      </w:r>
      <w:r w:rsidR="00CF3BE1">
        <w:rPr>
          <w:sz w:val="20"/>
        </w:rPr>
        <w:t xml:space="preserve">In the case of children the informed consent of the caregiver should also be sought for the referral. </w:t>
      </w:r>
    </w:p>
    <w:p w14:paraId="0524CF5E" w14:textId="77777777" w:rsidR="00FF153E" w:rsidRDefault="00FF153E">
      <w:pPr>
        <w:pStyle w:val="BodyText"/>
        <w:spacing w:before="7"/>
        <w:rPr>
          <w:sz w:val="22"/>
        </w:rPr>
      </w:pPr>
    </w:p>
    <w:p w14:paraId="70340610" w14:textId="77777777" w:rsidR="00FF153E" w:rsidRDefault="00E91523">
      <w:pPr>
        <w:pStyle w:val="ListParagraph"/>
        <w:numPr>
          <w:ilvl w:val="0"/>
          <w:numId w:val="2"/>
        </w:numPr>
        <w:tabs>
          <w:tab w:val="left" w:pos="460"/>
        </w:tabs>
        <w:spacing w:before="1" w:line="242" w:lineRule="auto"/>
        <w:ind w:right="116"/>
        <w:jc w:val="both"/>
        <w:rPr>
          <w:sz w:val="20"/>
        </w:rPr>
      </w:pPr>
      <w:r>
        <w:rPr>
          <w:b/>
          <w:sz w:val="20"/>
        </w:rPr>
        <w:t xml:space="preserve">Respect: </w:t>
      </w:r>
      <w:r>
        <w:rPr>
          <w:sz w:val="20"/>
        </w:rPr>
        <w:t>Your role as staff, partner or volunteer is to provide information about services available, in order for them to make a free and informed choice. Under no circumstances should you give counselling or put pressure on the individual to access one or other services. Respect their dignity, decision- making capacities and preferences. You are not supposed to express your opinion, pass judgment or blame the</w:t>
      </w:r>
      <w:r>
        <w:rPr>
          <w:spacing w:val="-12"/>
          <w:sz w:val="20"/>
        </w:rPr>
        <w:t xml:space="preserve"> </w:t>
      </w:r>
      <w:r>
        <w:rPr>
          <w:sz w:val="20"/>
        </w:rPr>
        <w:t>individual.</w:t>
      </w:r>
    </w:p>
    <w:p w14:paraId="16D98781" w14:textId="77777777" w:rsidR="00FF153E" w:rsidRDefault="00FF153E">
      <w:pPr>
        <w:pStyle w:val="BodyText"/>
        <w:spacing w:before="5"/>
        <w:rPr>
          <w:sz w:val="22"/>
        </w:rPr>
      </w:pPr>
    </w:p>
    <w:p w14:paraId="323024B9" w14:textId="77777777" w:rsidR="00FF153E" w:rsidRDefault="00E91523">
      <w:pPr>
        <w:pStyle w:val="ListParagraph"/>
        <w:numPr>
          <w:ilvl w:val="0"/>
          <w:numId w:val="2"/>
        </w:numPr>
        <w:tabs>
          <w:tab w:val="left" w:pos="460"/>
        </w:tabs>
        <w:ind w:right="116"/>
        <w:jc w:val="both"/>
        <w:rPr>
          <w:sz w:val="20"/>
        </w:rPr>
      </w:pPr>
      <w:r>
        <w:rPr>
          <w:b/>
          <w:sz w:val="20"/>
        </w:rPr>
        <w:t xml:space="preserve">No false expectations: </w:t>
      </w:r>
      <w:r>
        <w:rPr>
          <w:sz w:val="20"/>
        </w:rPr>
        <w:t xml:space="preserve">Only share information if, based on service mapping, the services exist/are available. Staff or volunteers of </w:t>
      </w:r>
      <w:r>
        <w:rPr>
          <w:spacing w:val="3"/>
          <w:sz w:val="20"/>
        </w:rPr>
        <w:t xml:space="preserve">the </w:t>
      </w:r>
      <w:r>
        <w:rPr>
          <w:sz w:val="20"/>
        </w:rPr>
        <w:t>referring agency cannot guarantee access to the services or the results or quality of the service, and this needs to be explained to beneficiaries. However, it should also be explained that in case of any problem accessing the services, individuals requesting referrals can come back to inform referring agency staff or volunteers and can ask for additional</w:t>
      </w:r>
      <w:r>
        <w:rPr>
          <w:spacing w:val="-3"/>
          <w:sz w:val="20"/>
        </w:rPr>
        <w:t xml:space="preserve"> </w:t>
      </w:r>
      <w:r>
        <w:rPr>
          <w:sz w:val="20"/>
        </w:rPr>
        <w:t>support.</w:t>
      </w:r>
    </w:p>
    <w:p w14:paraId="7BFDA445" w14:textId="77777777" w:rsidR="00FF153E" w:rsidRDefault="00FF153E">
      <w:pPr>
        <w:pStyle w:val="BodyText"/>
        <w:spacing w:before="10"/>
        <w:rPr>
          <w:sz w:val="22"/>
        </w:rPr>
      </w:pPr>
    </w:p>
    <w:p w14:paraId="4C93EDD1" w14:textId="77777777" w:rsidR="00FF153E" w:rsidRDefault="00E91523">
      <w:pPr>
        <w:pStyle w:val="ListParagraph"/>
        <w:numPr>
          <w:ilvl w:val="0"/>
          <w:numId w:val="2"/>
        </w:numPr>
        <w:tabs>
          <w:tab w:val="left" w:pos="460"/>
        </w:tabs>
        <w:spacing w:line="242" w:lineRule="auto"/>
        <w:ind w:right="117"/>
        <w:jc w:val="both"/>
        <w:rPr>
          <w:sz w:val="20"/>
        </w:rPr>
      </w:pPr>
      <w:r>
        <w:rPr>
          <w:b/>
          <w:sz w:val="20"/>
        </w:rPr>
        <w:t>Safety</w:t>
      </w:r>
      <w:r>
        <w:rPr>
          <w:b/>
          <w:spacing w:val="-7"/>
          <w:sz w:val="20"/>
        </w:rPr>
        <w:t xml:space="preserve"> </w:t>
      </w:r>
      <w:r>
        <w:rPr>
          <w:b/>
          <w:sz w:val="20"/>
        </w:rPr>
        <w:t>and</w:t>
      </w:r>
      <w:r>
        <w:rPr>
          <w:b/>
          <w:spacing w:val="-3"/>
          <w:sz w:val="20"/>
        </w:rPr>
        <w:t xml:space="preserve"> </w:t>
      </w:r>
      <w:r>
        <w:rPr>
          <w:b/>
          <w:sz w:val="20"/>
        </w:rPr>
        <w:t>security:</w:t>
      </w:r>
      <w:r>
        <w:rPr>
          <w:b/>
          <w:spacing w:val="-1"/>
          <w:sz w:val="20"/>
        </w:rPr>
        <w:t xml:space="preserve"> </w:t>
      </w:r>
      <w:r>
        <w:rPr>
          <w:sz w:val="20"/>
        </w:rPr>
        <w:t>Organizations’</w:t>
      </w:r>
      <w:r>
        <w:rPr>
          <w:spacing w:val="-6"/>
          <w:sz w:val="20"/>
        </w:rPr>
        <w:t xml:space="preserve"> </w:t>
      </w:r>
      <w:r>
        <w:rPr>
          <w:sz w:val="20"/>
        </w:rPr>
        <w:t>staff</w:t>
      </w:r>
      <w:r>
        <w:rPr>
          <w:spacing w:val="-4"/>
          <w:sz w:val="20"/>
        </w:rPr>
        <w:t xml:space="preserve"> </w:t>
      </w:r>
      <w:r>
        <w:rPr>
          <w:sz w:val="20"/>
        </w:rPr>
        <w:t>must</w:t>
      </w:r>
      <w:r>
        <w:rPr>
          <w:spacing w:val="-4"/>
          <w:sz w:val="20"/>
        </w:rPr>
        <w:t xml:space="preserve"> </w:t>
      </w:r>
      <w:r>
        <w:rPr>
          <w:sz w:val="20"/>
        </w:rPr>
        <w:t>take</w:t>
      </w:r>
      <w:r>
        <w:rPr>
          <w:spacing w:val="-4"/>
          <w:sz w:val="20"/>
        </w:rPr>
        <w:t xml:space="preserve"> </w:t>
      </w:r>
      <w:r>
        <w:rPr>
          <w:sz w:val="20"/>
        </w:rPr>
        <w:t>actions</w:t>
      </w:r>
      <w:r>
        <w:rPr>
          <w:spacing w:val="-4"/>
          <w:sz w:val="20"/>
        </w:rPr>
        <w:t xml:space="preserve"> </w:t>
      </w:r>
      <w:r>
        <w:rPr>
          <w:sz w:val="20"/>
        </w:rPr>
        <w:t>to</w:t>
      </w:r>
      <w:r>
        <w:rPr>
          <w:spacing w:val="-2"/>
          <w:sz w:val="20"/>
        </w:rPr>
        <w:t xml:space="preserve"> </w:t>
      </w:r>
      <w:r>
        <w:rPr>
          <w:sz w:val="20"/>
        </w:rPr>
        <w:t>ensure</w:t>
      </w:r>
      <w:r>
        <w:rPr>
          <w:spacing w:val="-4"/>
          <w:sz w:val="20"/>
        </w:rPr>
        <w:t xml:space="preserve"> </w:t>
      </w:r>
      <w:r>
        <w:rPr>
          <w:sz w:val="20"/>
        </w:rPr>
        <w:t>the</w:t>
      </w:r>
      <w:r>
        <w:rPr>
          <w:spacing w:val="-5"/>
          <w:sz w:val="20"/>
        </w:rPr>
        <w:t xml:space="preserve"> </w:t>
      </w:r>
      <w:r>
        <w:rPr>
          <w:sz w:val="20"/>
        </w:rPr>
        <w:t>physical</w:t>
      </w:r>
      <w:r>
        <w:rPr>
          <w:spacing w:val="-3"/>
          <w:sz w:val="20"/>
        </w:rPr>
        <w:t xml:space="preserve"> </w:t>
      </w:r>
      <w:r>
        <w:rPr>
          <w:sz w:val="20"/>
        </w:rPr>
        <w:t>and</w:t>
      </w:r>
      <w:r>
        <w:rPr>
          <w:spacing w:val="-4"/>
          <w:sz w:val="20"/>
        </w:rPr>
        <w:t xml:space="preserve"> </w:t>
      </w:r>
      <w:r>
        <w:rPr>
          <w:sz w:val="20"/>
        </w:rPr>
        <w:t>emotional</w:t>
      </w:r>
      <w:r>
        <w:rPr>
          <w:spacing w:val="-5"/>
          <w:sz w:val="20"/>
        </w:rPr>
        <w:t xml:space="preserve"> </w:t>
      </w:r>
      <w:r>
        <w:rPr>
          <w:sz w:val="20"/>
        </w:rPr>
        <w:t>safety</w:t>
      </w:r>
      <w:r>
        <w:rPr>
          <w:spacing w:val="-7"/>
          <w:sz w:val="20"/>
        </w:rPr>
        <w:t xml:space="preserve"> </w:t>
      </w:r>
      <w:r>
        <w:rPr>
          <w:sz w:val="20"/>
        </w:rPr>
        <w:t>of</w:t>
      </w:r>
      <w:r>
        <w:rPr>
          <w:spacing w:val="-3"/>
          <w:sz w:val="20"/>
        </w:rPr>
        <w:t xml:space="preserve"> </w:t>
      </w:r>
      <w:r>
        <w:rPr>
          <w:sz w:val="20"/>
        </w:rPr>
        <w:t>individuals</w:t>
      </w:r>
      <w:r>
        <w:rPr>
          <w:spacing w:val="-1"/>
          <w:sz w:val="20"/>
        </w:rPr>
        <w:t xml:space="preserve"> </w:t>
      </w:r>
      <w:r>
        <w:rPr>
          <w:sz w:val="20"/>
        </w:rPr>
        <w:t>who</w:t>
      </w:r>
      <w:r>
        <w:rPr>
          <w:spacing w:val="-5"/>
          <w:sz w:val="20"/>
        </w:rPr>
        <w:t xml:space="preserve"> </w:t>
      </w:r>
      <w:r>
        <w:rPr>
          <w:sz w:val="20"/>
        </w:rPr>
        <w:t>have</w:t>
      </w:r>
      <w:r>
        <w:rPr>
          <w:spacing w:val="-4"/>
          <w:sz w:val="20"/>
        </w:rPr>
        <w:t xml:space="preserve"> </w:t>
      </w:r>
      <w:r>
        <w:rPr>
          <w:sz w:val="20"/>
        </w:rPr>
        <w:t>experienced</w:t>
      </w:r>
      <w:r>
        <w:rPr>
          <w:spacing w:val="-5"/>
          <w:sz w:val="20"/>
        </w:rPr>
        <w:t xml:space="preserve"> </w:t>
      </w:r>
      <w:r>
        <w:rPr>
          <w:spacing w:val="5"/>
          <w:sz w:val="20"/>
        </w:rPr>
        <w:t>or</w:t>
      </w:r>
      <w:r>
        <w:rPr>
          <w:spacing w:val="-3"/>
          <w:sz w:val="20"/>
        </w:rPr>
        <w:t xml:space="preserve"> </w:t>
      </w:r>
      <w:r>
        <w:rPr>
          <w:sz w:val="20"/>
        </w:rPr>
        <w:t>are</w:t>
      </w:r>
      <w:r>
        <w:rPr>
          <w:spacing w:val="-5"/>
          <w:sz w:val="20"/>
        </w:rPr>
        <w:t xml:space="preserve"> </w:t>
      </w:r>
      <w:r>
        <w:rPr>
          <w:sz w:val="20"/>
        </w:rPr>
        <w:t>at</w:t>
      </w:r>
      <w:r>
        <w:rPr>
          <w:spacing w:val="-4"/>
          <w:sz w:val="20"/>
        </w:rPr>
        <w:t xml:space="preserve"> </w:t>
      </w:r>
      <w:r>
        <w:rPr>
          <w:sz w:val="20"/>
        </w:rPr>
        <w:t>risk of</w:t>
      </w:r>
      <w:r>
        <w:rPr>
          <w:spacing w:val="-13"/>
          <w:sz w:val="20"/>
        </w:rPr>
        <w:t xml:space="preserve"> </w:t>
      </w:r>
      <w:r>
        <w:rPr>
          <w:sz w:val="20"/>
        </w:rPr>
        <w:t>violence,</w:t>
      </w:r>
      <w:r>
        <w:rPr>
          <w:spacing w:val="-12"/>
          <w:sz w:val="20"/>
        </w:rPr>
        <w:t xml:space="preserve"> </w:t>
      </w:r>
      <w:r>
        <w:rPr>
          <w:sz w:val="20"/>
        </w:rPr>
        <w:t>abuse,</w:t>
      </w:r>
      <w:r>
        <w:rPr>
          <w:spacing w:val="-12"/>
          <w:sz w:val="20"/>
        </w:rPr>
        <w:t xml:space="preserve"> </w:t>
      </w:r>
      <w:r>
        <w:rPr>
          <w:sz w:val="20"/>
        </w:rPr>
        <w:t>exploitation</w:t>
      </w:r>
      <w:r>
        <w:rPr>
          <w:spacing w:val="-12"/>
          <w:sz w:val="20"/>
        </w:rPr>
        <w:t xml:space="preserve"> </w:t>
      </w:r>
      <w:r>
        <w:rPr>
          <w:sz w:val="20"/>
        </w:rPr>
        <w:t>or</w:t>
      </w:r>
      <w:r>
        <w:rPr>
          <w:spacing w:val="-11"/>
          <w:sz w:val="20"/>
        </w:rPr>
        <w:t xml:space="preserve"> </w:t>
      </w:r>
      <w:r>
        <w:rPr>
          <w:sz w:val="20"/>
        </w:rPr>
        <w:t>neglect.</w:t>
      </w:r>
      <w:r>
        <w:rPr>
          <w:spacing w:val="-12"/>
          <w:sz w:val="20"/>
        </w:rPr>
        <w:t xml:space="preserve"> </w:t>
      </w:r>
      <w:r>
        <w:rPr>
          <w:sz w:val="20"/>
        </w:rPr>
        <w:t>The</w:t>
      </w:r>
      <w:r>
        <w:rPr>
          <w:spacing w:val="-15"/>
          <w:sz w:val="20"/>
        </w:rPr>
        <w:t xml:space="preserve"> </w:t>
      </w:r>
      <w:r>
        <w:rPr>
          <w:sz w:val="20"/>
        </w:rPr>
        <w:t>physical</w:t>
      </w:r>
      <w:r>
        <w:rPr>
          <w:spacing w:val="-11"/>
          <w:sz w:val="20"/>
        </w:rPr>
        <w:t xml:space="preserve"> </w:t>
      </w:r>
      <w:r>
        <w:rPr>
          <w:sz w:val="20"/>
        </w:rPr>
        <w:t>safety</w:t>
      </w:r>
      <w:r>
        <w:rPr>
          <w:spacing w:val="-17"/>
          <w:sz w:val="20"/>
        </w:rPr>
        <w:t xml:space="preserve"> </w:t>
      </w:r>
      <w:r>
        <w:rPr>
          <w:sz w:val="20"/>
        </w:rPr>
        <w:t>of</w:t>
      </w:r>
      <w:r>
        <w:rPr>
          <w:spacing w:val="-12"/>
          <w:sz w:val="20"/>
        </w:rPr>
        <w:t xml:space="preserve"> </w:t>
      </w:r>
      <w:r>
        <w:rPr>
          <w:sz w:val="20"/>
        </w:rPr>
        <w:t>the</w:t>
      </w:r>
      <w:r>
        <w:rPr>
          <w:spacing w:val="-12"/>
          <w:sz w:val="20"/>
        </w:rPr>
        <w:t xml:space="preserve"> </w:t>
      </w:r>
      <w:r>
        <w:rPr>
          <w:sz w:val="20"/>
        </w:rPr>
        <w:t>individual</w:t>
      </w:r>
      <w:r>
        <w:rPr>
          <w:spacing w:val="-15"/>
          <w:sz w:val="20"/>
        </w:rPr>
        <w:t xml:space="preserve"> </w:t>
      </w:r>
      <w:r>
        <w:rPr>
          <w:sz w:val="20"/>
        </w:rPr>
        <w:t>should</w:t>
      </w:r>
      <w:r>
        <w:rPr>
          <w:spacing w:val="-12"/>
          <w:sz w:val="20"/>
        </w:rPr>
        <w:t xml:space="preserve"> </w:t>
      </w:r>
      <w:r>
        <w:rPr>
          <w:sz w:val="20"/>
        </w:rPr>
        <w:t>be</w:t>
      </w:r>
      <w:r>
        <w:rPr>
          <w:spacing w:val="-12"/>
          <w:sz w:val="20"/>
        </w:rPr>
        <w:t xml:space="preserve"> </w:t>
      </w:r>
      <w:r>
        <w:rPr>
          <w:sz w:val="20"/>
        </w:rPr>
        <w:t>prioritized</w:t>
      </w:r>
      <w:r>
        <w:rPr>
          <w:spacing w:val="-12"/>
          <w:sz w:val="20"/>
        </w:rPr>
        <w:t xml:space="preserve"> </w:t>
      </w:r>
      <w:r>
        <w:rPr>
          <w:sz w:val="20"/>
        </w:rPr>
        <w:t>above</w:t>
      </w:r>
      <w:r>
        <w:rPr>
          <w:spacing w:val="-12"/>
          <w:sz w:val="20"/>
        </w:rPr>
        <w:t xml:space="preserve"> </w:t>
      </w:r>
      <w:r>
        <w:rPr>
          <w:sz w:val="20"/>
        </w:rPr>
        <w:t>all</w:t>
      </w:r>
      <w:r>
        <w:rPr>
          <w:spacing w:val="-15"/>
          <w:sz w:val="20"/>
        </w:rPr>
        <w:t xml:space="preserve"> </w:t>
      </w:r>
      <w:r>
        <w:rPr>
          <w:sz w:val="20"/>
        </w:rPr>
        <w:t>other</w:t>
      </w:r>
      <w:r>
        <w:rPr>
          <w:spacing w:val="-13"/>
          <w:sz w:val="20"/>
        </w:rPr>
        <w:t xml:space="preserve"> </w:t>
      </w:r>
      <w:r>
        <w:rPr>
          <w:sz w:val="20"/>
        </w:rPr>
        <w:t>actions</w:t>
      </w:r>
      <w:r>
        <w:rPr>
          <w:spacing w:val="-10"/>
          <w:sz w:val="20"/>
        </w:rPr>
        <w:t xml:space="preserve"> </w:t>
      </w:r>
      <w:r>
        <w:rPr>
          <w:sz w:val="20"/>
        </w:rPr>
        <w:t>or</w:t>
      </w:r>
      <w:r>
        <w:rPr>
          <w:spacing w:val="-13"/>
          <w:sz w:val="20"/>
        </w:rPr>
        <w:t xml:space="preserve"> </w:t>
      </w:r>
      <w:r>
        <w:rPr>
          <w:sz w:val="20"/>
        </w:rPr>
        <w:t>referrals</w:t>
      </w:r>
      <w:r>
        <w:rPr>
          <w:spacing w:val="-10"/>
          <w:sz w:val="20"/>
        </w:rPr>
        <w:t xml:space="preserve"> </w:t>
      </w:r>
      <w:r>
        <w:rPr>
          <w:sz w:val="20"/>
        </w:rPr>
        <w:t>that</w:t>
      </w:r>
      <w:r>
        <w:rPr>
          <w:spacing w:val="-12"/>
          <w:sz w:val="20"/>
        </w:rPr>
        <w:t xml:space="preserve"> </w:t>
      </w:r>
      <w:r>
        <w:rPr>
          <w:sz w:val="20"/>
        </w:rPr>
        <w:t>may</w:t>
      </w:r>
      <w:r>
        <w:rPr>
          <w:spacing w:val="-18"/>
          <w:sz w:val="20"/>
        </w:rPr>
        <w:t xml:space="preserve"> </w:t>
      </w:r>
      <w:r>
        <w:rPr>
          <w:sz w:val="20"/>
        </w:rPr>
        <w:t>be</w:t>
      </w:r>
      <w:r>
        <w:rPr>
          <w:spacing w:val="-12"/>
          <w:sz w:val="20"/>
        </w:rPr>
        <w:t xml:space="preserve"> </w:t>
      </w:r>
      <w:r>
        <w:rPr>
          <w:sz w:val="20"/>
        </w:rPr>
        <w:t>available. Safety and security considerations should also be taken into account when presenting referral options to an individual, to the extent that frontline staff can reasonably be expected to be aware of relevant</w:t>
      </w:r>
      <w:r>
        <w:rPr>
          <w:spacing w:val="-8"/>
          <w:sz w:val="20"/>
        </w:rPr>
        <w:t xml:space="preserve"> </w:t>
      </w:r>
      <w:r>
        <w:rPr>
          <w:sz w:val="20"/>
        </w:rPr>
        <w:t>risks.</w:t>
      </w:r>
    </w:p>
    <w:p w14:paraId="6217436A" w14:textId="77777777" w:rsidR="00FF153E" w:rsidRDefault="00FF153E">
      <w:pPr>
        <w:spacing w:line="242" w:lineRule="auto"/>
        <w:jc w:val="both"/>
        <w:rPr>
          <w:sz w:val="20"/>
        </w:rPr>
        <w:sectPr w:rsidR="00FF153E">
          <w:type w:val="continuous"/>
          <w:pgSz w:w="16840" w:h="11910" w:orient="landscape"/>
          <w:pgMar w:top="900" w:right="1320" w:bottom="280" w:left="1340" w:header="720" w:footer="720" w:gutter="0"/>
          <w:cols w:space="720"/>
        </w:sectPr>
      </w:pPr>
    </w:p>
    <w:p w14:paraId="31822734" w14:textId="77777777" w:rsidR="00FF153E" w:rsidRDefault="00FF153E">
      <w:pPr>
        <w:pStyle w:val="BodyText"/>
        <w:spacing w:before="3"/>
      </w:pPr>
    </w:p>
    <w:p w14:paraId="6926CCBB" w14:textId="77777777" w:rsidR="00FF153E" w:rsidRDefault="00E91523">
      <w:pPr>
        <w:pStyle w:val="Heading2"/>
        <w:spacing w:before="93"/>
        <w:jc w:val="both"/>
      </w:pPr>
      <w:r>
        <w:t>Referral Channel</w:t>
      </w:r>
    </w:p>
    <w:p w14:paraId="10890FC8" w14:textId="77777777" w:rsidR="00FF153E" w:rsidRDefault="00FF153E">
      <w:pPr>
        <w:pStyle w:val="BodyText"/>
        <w:spacing w:before="3"/>
        <w:rPr>
          <w:b/>
        </w:rPr>
      </w:pPr>
    </w:p>
    <w:p w14:paraId="752F2A12" w14:textId="2F94434B" w:rsidR="00FF153E" w:rsidRDefault="00E91523">
      <w:pPr>
        <w:pStyle w:val="BodyText"/>
        <w:ind w:left="100" w:right="118"/>
        <w:jc w:val="both"/>
      </w:pPr>
      <w:r>
        <w:t>The referral for</w:t>
      </w:r>
      <w:r w:rsidR="00DA533A">
        <w:t>m</w:t>
      </w:r>
      <w:r w:rsidR="00DA533A">
        <w:rPr>
          <w:rStyle w:val="FootnoteReference"/>
        </w:rPr>
        <w:footnoteReference w:id="1"/>
      </w:r>
      <w:r w:rsidR="00DA533A">
        <w:t xml:space="preserve"> </w:t>
      </w:r>
      <w:r>
        <w:t xml:space="preserve">is intended to be used by humanitarian organizations as a tool to facilitate inter-agency referrals, and as a means to document referrals in accordance with minimum standards. </w:t>
      </w:r>
      <w:r w:rsidR="00CF3BE1">
        <w:t xml:space="preserve">The </w:t>
      </w:r>
      <w:r>
        <w:t>flowchart below</w:t>
      </w:r>
      <w:r w:rsidR="00BB00CA">
        <w:t xml:space="preserve"> indicates a summary of the referral process </w:t>
      </w:r>
      <w:r>
        <w:t>for individual cases identified in need of assistance:</w:t>
      </w:r>
    </w:p>
    <w:p w14:paraId="31451FE0" w14:textId="0DE046CE" w:rsidR="00583100" w:rsidRDefault="00583100">
      <w:pPr>
        <w:pStyle w:val="BodyText"/>
        <w:ind w:left="100" w:right="118"/>
        <w:jc w:val="both"/>
      </w:pPr>
    </w:p>
    <w:p w14:paraId="3597D5B1" w14:textId="59C1026C" w:rsidR="00583100" w:rsidRDefault="00583100">
      <w:pPr>
        <w:pStyle w:val="BodyText"/>
        <w:ind w:left="100" w:right="118"/>
        <w:jc w:val="both"/>
      </w:pPr>
    </w:p>
    <w:p w14:paraId="2D6DDA25" w14:textId="60D8DC1E" w:rsidR="00FF153E" w:rsidRDefault="00DA533A" w:rsidP="00DA533A">
      <w:pPr>
        <w:pStyle w:val="BodyText"/>
        <w:jc w:val="center"/>
      </w:pPr>
      <w:r>
        <w:rPr>
          <w:noProof/>
        </w:rPr>
        <w:drawing>
          <wp:inline distT="0" distB="0" distL="0" distR="0" wp14:anchorId="3C406370" wp14:editId="043578EC">
            <wp:extent cx="4269381" cy="372990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5523" cy="3744008"/>
                    </a:xfrm>
                    <a:prstGeom prst="rect">
                      <a:avLst/>
                    </a:prstGeom>
                    <a:noFill/>
                  </pic:spPr>
                </pic:pic>
              </a:graphicData>
            </a:graphic>
          </wp:inline>
        </w:drawing>
      </w:r>
    </w:p>
    <w:p w14:paraId="6A567C9B" w14:textId="5C9CE91B" w:rsidR="00FF153E" w:rsidRDefault="00FF153E">
      <w:pPr>
        <w:pStyle w:val="BodyText"/>
        <w:spacing w:before="8"/>
        <w:rPr>
          <w:sz w:val="25"/>
        </w:rPr>
      </w:pPr>
    </w:p>
    <w:p w14:paraId="2E4E3B55" w14:textId="060D96AA" w:rsidR="00FF153E" w:rsidRDefault="00DA533A">
      <w:pPr>
        <w:pStyle w:val="BodyText"/>
        <w:spacing w:before="191"/>
        <w:ind w:left="100" w:right="115"/>
        <w:jc w:val="both"/>
      </w:pPr>
      <w:r>
        <w:t>The referrals should be made to the identified services in the site/location-based service map</w:t>
      </w:r>
      <w:r>
        <w:rPr>
          <w:rStyle w:val="FootnoteReference"/>
        </w:rPr>
        <w:footnoteReference w:id="2"/>
      </w:r>
      <w:r>
        <w:t xml:space="preserve"> using the contact information and intake criteria provided. </w:t>
      </w:r>
      <w:r w:rsidR="00E91523">
        <w:rPr>
          <w:position w:val="6"/>
          <w:sz w:val="13"/>
        </w:rPr>
        <w:t xml:space="preserve"> </w:t>
      </w:r>
      <w:r>
        <w:t xml:space="preserve">It is essential that each sector lead is responsible for coordinating with the service providers of their specific sector to ensure that service mapping information remains up to date and accessible to all humanitarian actors at central and field level. In locations/situations whereby a specific sector services is not available, the organization that has identified the case should seek guidance from the relevant sector lead to understand how to proceed based on global guidance/support available. </w:t>
      </w:r>
    </w:p>
    <w:p w14:paraId="38BF174A" w14:textId="77777777" w:rsidR="00FF153E" w:rsidRDefault="00FF153E">
      <w:pPr>
        <w:spacing w:line="183" w:lineRule="exact"/>
        <w:rPr>
          <w:sz w:val="16"/>
        </w:rPr>
        <w:sectPr w:rsidR="00FF153E">
          <w:pgSz w:w="16840" w:h="11910" w:orient="landscape"/>
          <w:pgMar w:top="1100" w:right="1320" w:bottom="280" w:left="1340" w:header="720" w:footer="720" w:gutter="0"/>
          <w:cols w:space="720"/>
        </w:sectPr>
      </w:pPr>
    </w:p>
    <w:p w14:paraId="4CFD18AE" w14:textId="77777777" w:rsidR="00FF153E" w:rsidRDefault="00FF153E">
      <w:pPr>
        <w:pStyle w:val="BodyText"/>
        <w:spacing w:before="4"/>
      </w:pPr>
    </w:p>
    <w:p w14:paraId="24A89997" w14:textId="77777777" w:rsidR="00FF153E" w:rsidRDefault="00E91523">
      <w:pPr>
        <w:pStyle w:val="Heading2"/>
        <w:spacing w:before="93"/>
      </w:pPr>
      <w:r>
        <w:t>Methodologies</w:t>
      </w:r>
    </w:p>
    <w:p w14:paraId="7318E92E" w14:textId="77777777" w:rsidR="00FF153E" w:rsidRDefault="00FF153E">
      <w:pPr>
        <w:pStyle w:val="BodyText"/>
        <w:rPr>
          <w:b/>
        </w:rPr>
      </w:pPr>
    </w:p>
    <w:p w14:paraId="1DB673D0" w14:textId="77777777" w:rsidR="00FF153E" w:rsidRDefault="00E91523">
      <w:pPr>
        <w:pStyle w:val="BodyText"/>
        <w:ind w:left="100"/>
      </w:pPr>
      <w:r>
        <w:t>In general circumstances, the steps required to make a successful referral are:</w:t>
      </w:r>
    </w:p>
    <w:p w14:paraId="7B85ADD4" w14:textId="77777777" w:rsidR="00FF153E" w:rsidRDefault="00FF153E">
      <w:pPr>
        <w:pStyle w:val="BodyText"/>
        <w:spacing w:before="1"/>
      </w:pPr>
    </w:p>
    <w:p w14:paraId="526A91DB" w14:textId="27B2A578" w:rsidR="00FF153E" w:rsidRDefault="00E91523">
      <w:pPr>
        <w:pStyle w:val="ListParagraph"/>
        <w:numPr>
          <w:ilvl w:val="0"/>
          <w:numId w:val="1"/>
        </w:numPr>
        <w:tabs>
          <w:tab w:val="left" w:pos="321"/>
        </w:tabs>
        <w:rPr>
          <w:sz w:val="20"/>
        </w:rPr>
      </w:pPr>
      <w:r>
        <w:rPr>
          <w:sz w:val="20"/>
        </w:rPr>
        <w:t xml:space="preserve">Identify the problem and/or </w:t>
      </w:r>
      <w:r w:rsidR="00DA533A">
        <w:rPr>
          <w:sz w:val="20"/>
        </w:rPr>
        <w:t xml:space="preserve">rapidly </w:t>
      </w:r>
      <w:r>
        <w:rPr>
          <w:sz w:val="20"/>
        </w:rPr>
        <w:t xml:space="preserve">assess the </w:t>
      </w:r>
      <w:r w:rsidR="00DA533A">
        <w:rPr>
          <w:sz w:val="20"/>
        </w:rPr>
        <w:t>cases</w:t>
      </w:r>
      <w:r>
        <w:rPr>
          <w:sz w:val="20"/>
        </w:rPr>
        <w:t xml:space="preserve"> problems and</w:t>
      </w:r>
      <w:r>
        <w:rPr>
          <w:spacing w:val="-6"/>
          <w:sz w:val="20"/>
        </w:rPr>
        <w:t xml:space="preserve"> </w:t>
      </w:r>
      <w:r>
        <w:rPr>
          <w:sz w:val="20"/>
        </w:rPr>
        <w:t>needs</w:t>
      </w:r>
      <w:r w:rsidR="00DA533A">
        <w:rPr>
          <w:sz w:val="20"/>
        </w:rPr>
        <w:t xml:space="preserve"> (note this should not be an in-depth technical assessment as this would be conducted by the relevant sector upon referral)</w:t>
      </w:r>
      <w:r>
        <w:rPr>
          <w:sz w:val="20"/>
        </w:rPr>
        <w:t>;</w:t>
      </w:r>
    </w:p>
    <w:p w14:paraId="5D6A5181" w14:textId="77777777" w:rsidR="00FF153E" w:rsidRDefault="00E91523">
      <w:pPr>
        <w:pStyle w:val="ListParagraph"/>
        <w:numPr>
          <w:ilvl w:val="0"/>
          <w:numId w:val="1"/>
        </w:numPr>
        <w:tabs>
          <w:tab w:val="left" w:pos="321"/>
        </w:tabs>
        <w:spacing w:before="1"/>
        <w:rPr>
          <w:sz w:val="20"/>
        </w:rPr>
      </w:pPr>
      <w:r>
        <w:rPr>
          <w:sz w:val="20"/>
        </w:rPr>
        <w:t>Identify which organization or agency can meet this</w:t>
      </w:r>
      <w:r>
        <w:rPr>
          <w:spacing w:val="-7"/>
          <w:sz w:val="20"/>
        </w:rPr>
        <w:t xml:space="preserve"> </w:t>
      </w:r>
      <w:r>
        <w:rPr>
          <w:sz w:val="20"/>
        </w:rPr>
        <w:t>need;</w:t>
      </w:r>
    </w:p>
    <w:p w14:paraId="52C59EA0" w14:textId="77777777" w:rsidR="00FF153E" w:rsidRDefault="00E91523">
      <w:pPr>
        <w:pStyle w:val="ListParagraph"/>
        <w:numPr>
          <w:ilvl w:val="0"/>
          <w:numId w:val="1"/>
        </w:numPr>
        <w:tabs>
          <w:tab w:val="left" w:pos="321"/>
        </w:tabs>
        <w:rPr>
          <w:sz w:val="20"/>
        </w:rPr>
      </w:pPr>
      <w:r>
        <w:rPr>
          <w:sz w:val="20"/>
        </w:rPr>
        <w:t>Contact the service provider to confirm eligibility and availability of</w:t>
      </w:r>
      <w:r>
        <w:rPr>
          <w:spacing w:val="-5"/>
          <w:sz w:val="20"/>
        </w:rPr>
        <w:t xml:space="preserve"> </w:t>
      </w:r>
      <w:r>
        <w:rPr>
          <w:sz w:val="20"/>
        </w:rPr>
        <w:t>services;</w:t>
      </w:r>
    </w:p>
    <w:p w14:paraId="02633506" w14:textId="5EF159D0" w:rsidR="00FF153E" w:rsidRDefault="00E91523">
      <w:pPr>
        <w:pStyle w:val="ListParagraph"/>
        <w:numPr>
          <w:ilvl w:val="0"/>
          <w:numId w:val="1"/>
        </w:numPr>
        <w:tabs>
          <w:tab w:val="left" w:pos="321"/>
        </w:tabs>
        <w:spacing w:line="229" w:lineRule="exact"/>
        <w:rPr>
          <w:sz w:val="20"/>
        </w:rPr>
      </w:pPr>
      <w:r>
        <w:rPr>
          <w:sz w:val="20"/>
        </w:rPr>
        <w:t xml:space="preserve">Explain referral to the </w:t>
      </w:r>
      <w:r w:rsidR="0044681B">
        <w:rPr>
          <w:sz w:val="20"/>
        </w:rPr>
        <w:t>case</w:t>
      </w:r>
      <w:r>
        <w:rPr>
          <w:sz w:val="20"/>
        </w:rPr>
        <w:t>, including detailed information on the types of services available, location of service providers and contact</w:t>
      </w:r>
      <w:r>
        <w:rPr>
          <w:spacing w:val="-14"/>
          <w:sz w:val="20"/>
        </w:rPr>
        <w:t xml:space="preserve"> </w:t>
      </w:r>
      <w:r>
        <w:rPr>
          <w:sz w:val="20"/>
        </w:rPr>
        <w:t>details;</w:t>
      </w:r>
    </w:p>
    <w:p w14:paraId="32F5D2F0" w14:textId="384A0B04" w:rsidR="00FF153E" w:rsidRDefault="00E91523">
      <w:pPr>
        <w:pStyle w:val="ListParagraph"/>
        <w:numPr>
          <w:ilvl w:val="0"/>
          <w:numId w:val="1"/>
        </w:numPr>
        <w:tabs>
          <w:tab w:val="left" w:pos="331"/>
        </w:tabs>
        <w:ind w:left="100" w:right="119" w:firstLine="0"/>
        <w:jc w:val="both"/>
        <w:rPr>
          <w:sz w:val="20"/>
        </w:rPr>
      </w:pPr>
      <w:r>
        <w:rPr>
          <w:sz w:val="20"/>
        </w:rPr>
        <w:t xml:space="preserve">Document consent. If the client agrees to the referral, obtain consent before the client’s information is shared with others and agree with the </w:t>
      </w:r>
      <w:r w:rsidR="0044681B">
        <w:rPr>
          <w:sz w:val="20"/>
        </w:rPr>
        <w:t>case</w:t>
      </w:r>
      <w:r>
        <w:rPr>
          <w:sz w:val="20"/>
        </w:rPr>
        <w:t>, which information can be</w:t>
      </w:r>
      <w:r>
        <w:rPr>
          <w:spacing w:val="-4"/>
          <w:sz w:val="20"/>
        </w:rPr>
        <w:t xml:space="preserve"> </w:t>
      </w:r>
      <w:r>
        <w:rPr>
          <w:sz w:val="20"/>
        </w:rPr>
        <w:t>shared;</w:t>
      </w:r>
    </w:p>
    <w:p w14:paraId="1BAA1E07" w14:textId="42849F8F" w:rsidR="00FF153E" w:rsidRDefault="00E91523">
      <w:pPr>
        <w:pStyle w:val="ListParagraph"/>
        <w:numPr>
          <w:ilvl w:val="0"/>
          <w:numId w:val="1"/>
        </w:numPr>
        <w:tabs>
          <w:tab w:val="left" w:pos="328"/>
        </w:tabs>
        <w:spacing w:before="1"/>
        <w:ind w:left="100" w:right="113" w:firstLine="0"/>
        <w:jc w:val="both"/>
        <w:rPr>
          <w:sz w:val="20"/>
        </w:rPr>
      </w:pPr>
      <w:r>
        <w:rPr>
          <w:sz w:val="20"/>
        </w:rPr>
        <w:t>Make the referral. Fill out the inter-agency referral form</w:t>
      </w:r>
      <w:r>
        <w:rPr>
          <w:position w:val="6"/>
          <w:sz w:val="13"/>
        </w:rPr>
        <w:t xml:space="preserve"> </w:t>
      </w:r>
      <w:r>
        <w:rPr>
          <w:sz w:val="20"/>
        </w:rPr>
        <w:t>(</w:t>
      </w:r>
      <w:r w:rsidR="00DA533A">
        <w:rPr>
          <w:sz w:val="20"/>
        </w:rPr>
        <w:t xml:space="preserve">it is advised that the original copy is provided to the service provider upon referral and it the referring agency wishes they may take a copy for their records until the referral </w:t>
      </w:r>
      <w:r w:rsidR="0044681B">
        <w:rPr>
          <w:sz w:val="20"/>
        </w:rPr>
        <w:t>and follow-up is confirmed by the service provider at which time the referring agency should safely destroy their copy of the referral form</w:t>
      </w:r>
      <w:r>
        <w:rPr>
          <w:sz w:val="20"/>
        </w:rPr>
        <w:t>)</w:t>
      </w:r>
      <w:r w:rsidR="0044681B">
        <w:rPr>
          <w:sz w:val="20"/>
        </w:rPr>
        <w:t>;</w:t>
      </w:r>
    </w:p>
    <w:p w14:paraId="684EBF0B" w14:textId="0B70CC8A" w:rsidR="00FF153E" w:rsidRDefault="00E91523">
      <w:pPr>
        <w:pStyle w:val="ListParagraph"/>
        <w:numPr>
          <w:ilvl w:val="0"/>
          <w:numId w:val="1"/>
        </w:numPr>
        <w:tabs>
          <w:tab w:val="left" w:pos="314"/>
        </w:tabs>
        <w:spacing w:before="1"/>
        <w:ind w:left="100" w:right="119" w:firstLine="0"/>
        <w:jc w:val="both"/>
        <w:rPr>
          <w:sz w:val="20"/>
        </w:rPr>
      </w:pPr>
      <w:r>
        <w:rPr>
          <w:sz w:val="20"/>
        </w:rPr>
        <w:t>Follow</w:t>
      </w:r>
      <w:r>
        <w:rPr>
          <w:spacing w:val="-10"/>
          <w:sz w:val="20"/>
        </w:rPr>
        <w:t xml:space="preserve"> </w:t>
      </w:r>
      <w:r>
        <w:rPr>
          <w:sz w:val="20"/>
        </w:rPr>
        <w:t>up</w:t>
      </w:r>
      <w:r>
        <w:rPr>
          <w:spacing w:val="-7"/>
          <w:sz w:val="20"/>
        </w:rPr>
        <w:t xml:space="preserve"> </w:t>
      </w:r>
      <w:r>
        <w:rPr>
          <w:sz w:val="20"/>
        </w:rPr>
        <w:t>with</w:t>
      </w:r>
      <w:r>
        <w:rPr>
          <w:spacing w:val="-8"/>
          <w:sz w:val="20"/>
        </w:rPr>
        <w:t xml:space="preserve"> </w:t>
      </w:r>
      <w:r>
        <w:rPr>
          <w:sz w:val="20"/>
        </w:rPr>
        <w:t>the</w:t>
      </w:r>
      <w:r>
        <w:rPr>
          <w:spacing w:val="-9"/>
          <w:sz w:val="20"/>
        </w:rPr>
        <w:t xml:space="preserve"> </w:t>
      </w:r>
      <w:r>
        <w:rPr>
          <w:sz w:val="20"/>
        </w:rPr>
        <w:t>c</w:t>
      </w:r>
      <w:r w:rsidR="0044681B">
        <w:rPr>
          <w:sz w:val="20"/>
        </w:rPr>
        <w:t>ase</w:t>
      </w:r>
      <w:r>
        <w:rPr>
          <w:spacing w:val="-8"/>
          <w:sz w:val="20"/>
        </w:rPr>
        <w:t xml:space="preserve"> </w:t>
      </w:r>
      <w:r>
        <w:rPr>
          <w:sz w:val="20"/>
        </w:rPr>
        <w:t>and</w:t>
      </w:r>
      <w:r>
        <w:rPr>
          <w:spacing w:val="-7"/>
          <w:sz w:val="20"/>
        </w:rPr>
        <w:t xml:space="preserve"> </w:t>
      </w:r>
      <w:r>
        <w:rPr>
          <w:sz w:val="20"/>
        </w:rPr>
        <w:t>the</w:t>
      </w:r>
      <w:r>
        <w:rPr>
          <w:spacing w:val="-9"/>
          <w:sz w:val="20"/>
        </w:rPr>
        <w:t xml:space="preserve"> </w:t>
      </w:r>
      <w:r>
        <w:rPr>
          <w:sz w:val="20"/>
        </w:rPr>
        <w:t>receiving</w:t>
      </w:r>
      <w:r>
        <w:rPr>
          <w:spacing w:val="-8"/>
          <w:sz w:val="20"/>
        </w:rPr>
        <w:t xml:space="preserve"> </w:t>
      </w:r>
      <w:r>
        <w:rPr>
          <w:sz w:val="20"/>
        </w:rPr>
        <w:t>agency</w:t>
      </w:r>
      <w:r>
        <w:rPr>
          <w:spacing w:val="-11"/>
          <w:sz w:val="20"/>
        </w:rPr>
        <w:t xml:space="preserve"> </w:t>
      </w:r>
      <w:r>
        <w:rPr>
          <w:sz w:val="20"/>
        </w:rPr>
        <w:t>to</w:t>
      </w:r>
      <w:r>
        <w:rPr>
          <w:spacing w:val="-8"/>
          <w:sz w:val="20"/>
        </w:rPr>
        <w:t xml:space="preserve"> </w:t>
      </w:r>
      <w:r>
        <w:rPr>
          <w:sz w:val="20"/>
        </w:rPr>
        <w:t>ensure</w:t>
      </w:r>
      <w:r>
        <w:rPr>
          <w:spacing w:val="-7"/>
          <w:sz w:val="20"/>
        </w:rPr>
        <w:t xml:space="preserve"> </w:t>
      </w:r>
      <w:r>
        <w:rPr>
          <w:sz w:val="20"/>
        </w:rPr>
        <w:t>the</w:t>
      </w:r>
      <w:r>
        <w:rPr>
          <w:spacing w:val="-8"/>
          <w:sz w:val="20"/>
        </w:rPr>
        <w:t xml:space="preserve"> </w:t>
      </w:r>
      <w:r>
        <w:rPr>
          <w:sz w:val="20"/>
        </w:rPr>
        <w:t>referral</w:t>
      </w:r>
      <w:r>
        <w:rPr>
          <w:spacing w:val="-9"/>
          <w:sz w:val="20"/>
        </w:rPr>
        <w:t xml:space="preserve"> </w:t>
      </w:r>
      <w:r>
        <w:rPr>
          <w:sz w:val="20"/>
        </w:rPr>
        <w:t>was</w:t>
      </w:r>
      <w:r>
        <w:rPr>
          <w:spacing w:val="-9"/>
          <w:sz w:val="20"/>
        </w:rPr>
        <w:t xml:space="preserve"> </w:t>
      </w:r>
      <w:r>
        <w:rPr>
          <w:sz w:val="20"/>
        </w:rPr>
        <w:t>successful</w:t>
      </w:r>
      <w:r>
        <w:rPr>
          <w:spacing w:val="-11"/>
          <w:sz w:val="20"/>
        </w:rPr>
        <w:t xml:space="preserve"> </w:t>
      </w:r>
      <w:r>
        <w:rPr>
          <w:sz w:val="20"/>
        </w:rPr>
        <w:t>and</w:t>
      </w:r>
      <w:r>
        <w:rPr>
          <w:spacing w:val="-10"/>
          <w:sz w:val="20"/>
        </w:rPr>
        <w:t xml:space="preserve"> </w:t>
      </w:r>
      <w:r>
        <w:rPr>
          <w:sz w:val="20"/>
        </w:rPr>
        <w:t>exchange</w:t>
      </w:r>
      <w:r>
        <w:rPr>
          <w:spacing w:val="-7"/>
          <w:sz w:val="20"/>
        </w:rPr>
        <w:t xml:space="preserve"> </w:t>
      </w:r>
      <w:r>
        <w:rPr>
          <w:sz w:val="20"/>
        </w:rPr>
        <w:t>information,</w:t>
      </w:r>
      <w:r>
        <w:rPr>
          <w:spacing w:val="-8"/>
          <w:sz w:val="20"/>
        </w:rPr>
        <w:t xml:space="preserve"> </w:t>
      </w:r>
      <w:r>
        <w:rPr>
          <w:sz w:val="20"/>
        </w:rPr>
        <w:t>where</w:t>
      </w:r>
      <w:r>
        <w:rPr>
          <w:spacing w:val="-10"/>
          <w:sz w:val="20"/>
        </w:rPr>
        <w:t xml:space="preserve"> </w:t>
      </w:r>
      <w:r w:rsidR="0044681B">
        <w:rPr>
          <w:sz w:val="20"/>
        </w:rPr>
        <w:t>case</w:t>
      </w:r>
      <w:r>
        <w:rPr>
          <w:spacing w:val="-8"/>
          <w:sz w:val="20"/>
        </w:rPr>
        <w:t xml:space="preserve"> </w:t>
      </w:r>
      <w:r>
        <w:rPr>
          <w:sz w:val="20"/>
        </w:rPr>
        <w:t>consent allows</w:t>
      </w:r>
      <w:r>
        <w:rPr>
          <w:spacing w:val="-9"/>
          <w:sz w:val="20"/>
        </w:rPr>
        <w:t xml:space="preserve"> </w:t>
      </w:r>
      <w:r>
        <w:rPr>
          <w:sz w:val="20"/>
        </w:rPr>
        <w:t>for</w:t>
      </w:r>
      <w:r>
        <w:rPr>
          <w:spacing w:val="-9"/>
          <w:sz w:val="20"/>
        </w:rPr>
        <w:t xml:space="preserve"> </w:t>
      </w:r>
      <w:r>
        <w:rPr>
          <w:sz w:val="20"/>
        </w:rPr>
        <w:t>this.</w:t>
      </w:r>
      <w:r>
        <w:rPr>
          <w:spacing w:val="-7"/>
          <w:sz w:val="20"/>
        </w:rPr>
        <w:t xml:space="preserve"> </w:t>
      </w:r>
      <w:r>
        <w:rPr>
          <w:sz w:val="20"/>
        </w:rPr>
        <w:t>Areas for follow up include: did the c</w:t>
      </w:r>
      <w:r w:rsidR="0044681B">
        <w:rPr>
          <w:sz w:val="20"/>
        </w:rPr>
        <w:t>ase</w:t>
      </w:r>
      <w:r>
        <w:rPr>
          <w:sz w:val="20"/>
        </w:rPr>
        <w:t xml:space="preserve"> receive the planned services? What was the outcome? </w:t>
      </w:r>
      <w:r>
        <w:rPr>
          <w:spacing w:val="2"/>
          <w:sz w:val="20"/>
        </w:rPr>
        <w:t xml:space="preserve">Was </w:t>
      </w:r>
      <w:r>
        <w:rPr>
          <w:sz w:val="20"/>
        </w:rPr>
        <w:t>the c</w:t>
      </w:r>
      <w:r w:rsidR="0044681B">
        <w:rPr>
          <w:sz w:val="20"/>
        </w:rPr>
        <w:t>ase</w:t>
      </w:r>
      <w:r>
        <w:rPr>
          <w:sz w:val="20"/>
        </w:rPr>
        <w:t xml:space="preserve"> satisfied with the referral process, and the </w:t>
      </w:r>
      <w:r>
        <w:rPr>
          <w:spacing w:val="2"/>
          <w:sz w:val="20"/>
        </w:rPr>
        <w:t xml:space="preserve">services </w:t>
      </w:r>
      <w:r>
        <w:rPr>
          <w:sz w:val="20"/>
        </w:rPr>
        <w:t>received?</w:t>
      </w:r>
    </w:p>
    <w:p w14:paraId="3003F44B" w14:textId="15C6F134" w:rsidR="00FF153E" w:rsidRDefault="00E91523">
      <w:pPr>
        <w:pStyle w:val="ListParagraph"/>
        <w:numPr>
          <w:ilvl w:val="0"/>
          <w:numId w:val="1"/>
        </w:numPr>
        <w:tabs>
          <w:tab w:val="left" w:pos="340"/>
        </w:tabs>
        <w:ind w:left="100" w:right="120" w:firstLine="0"/>
        <w:jc w:val="both"/>
        <w:rPr>
          <w:sz w:val="20"/>
        </w:rPr>
      </w:pPr>
      <w:r>
        <w:rPr>
          <w:sz w:val="20"/>
        </w:rPr>
        <w:t>Maintain confidentiality. All referrals forms and case files should be stored in secure environment to ensure the implementation of safe and ethical data collection, management and storage of</w:t>
      </w:r>
      <w:r>
        <w:rPr>
          <w:spacing w:val="-2"/>
          <w:sz w:val="20"/>
        </w:rPr>
        <w:t xml:space="preserve"> </w:t>
      </w:r>
      <w:r>
        <w:rPr>
          <w:sz w:val="20"/>
        </w:rPr>
        <w:t>information.</w:t>
      </w:r>
      <w:r w:rsidR="0044681B">
        <w:rPr>
          <w:sz w:val="20"/>
        </w:rPr>
        <w:t xml:space="preserve"> Once referrals are made and effectively followed up then the referring agency should safely destroy the referral form. </w:t>
      </w:r>
    </w:p>
    <w:p w14:paraId="22BFBF49" w14:textId="77777777" w:rsidR="00FF153E" w:rsidRDefault="00FF153E">
      <w:pPr>
        <w:pStyle w:val="BodyText"/>
        <w:rPr>
          <w:sz w:val="22"/>
        </w:rPr>
      </w:pPr>
    </w:p>
    <w:p w14:paraId="311A056C" w14:textId="77777777" w:rsidR="00FF153E" w:rsidRDefault="00FF153E">
      <w:pPr>
        <w:pStyle w:val="BodyText"/>
        <w:rPr>
          <w:sz w:val="22"/>
        </w:rPr>
      </w:pPr>
    </w:p>
    <w:p w14:paraId="4E4ED906" w14:textId="77777777" w:rsidR="00FF153E" w:rsidRDefault="00E91523">
      <w:pPr>
        <w:pStyle w:val="Heading2"/>
        <w:spacing w:before="180"/>
      </w:pPr>
      <w:r>
        <w:t>Monitoring</w:t>
      </w:r>
    </w:p>
    <w:p w14:paraId="41E89E63" w14:textId="77777777" w:rsidR="00FF153E" w:rsidRDefault="00FF153E">
      <w:pPr>
        <w:pStyle w:val="BodyText"/>
        <w:spacing w:before="3"/>
        <w:rPr>
          <w:b/>
        </w:rPr>
      </w:pPr>
    </w:p>
    <w:p w14:paraId="14110253" w14:textId="3EB9B5FB" w:rsidR="00FF153E" w:rsidRDefault="00E91523">
      <w:pPr>
        <w:pStyle w:val="BodyText"/>
        <w:spacing w:before="1"/>
        <w:ind w:left="100" w:right="113"/>
        <w:jc w:val="both"/>
      </w:pPr>
      <w:r>
        <w:t xml:space="preserve">The success of an inter-agency referral system could be tracked using a variety of indicators, depending on the agencies’ data and reporting needs. In the context of </w:t>
      </w:r>
      <w:r w:rsidR="0044681B">
        <w:t>the Protection Cluster</w:t>
      </w:r>
      <w:r>
        <w:t xml:space="preserve">, </w:t>
      </w:r>
      <w:r w:rsidR="0044681B">
        <w:t>Cabo Delgado</w:t>
      </w:r>
      <w:r>
        <w:t>, a unified reporting template</w:t>
      </w:r>
      <w:r w:rsidR="0044681B">
        <w:rPr>
          <w:rStyle w:val="FootnoteReference"/>
        </w:rPr>
        <w:footnoteReference w:id="3"/>
      </w:r>
      <w:r w:rsidR="0044681B">
        <w:rPr>
          <w:position w:val="6"/>
          <w:sz w:val="13"/>
        </w:rPr>
        <w:t xml:space="preserve"> </w:t>
      </w:r>
      <w:r w:rsidR="0044681B">
        <w:t>can</w:t>
      </w:r>
      <w:r>
        <w:t xml:space="preserve"> be used as a format to collect fundamental information of each case. The data</w:t>
      </w:r>
      <w:r>
        <w:rPr>
          <w:spacing w:val="-7"/>
        </w:rPr>
        <w:t xml:space="preserve"> </w:t>
      </w:r>
      <w:r>
        <w:t>collected</w:t>
      </w:r>
      <w:r>
        <w:rPr>
          <w:spacing w:val="-9"/>
        </w:rPr>
        <w:t xml:space="preserve"> </w:t>
      </w:r>
      <w:r>
        <w:t>through</w:t>
      </w:r>
      <w:r>
        <w:rPr>
          <w:spacing w:val="-8"/>
        </w:rPr>
        <w:t xml:space="preserve"> </w:t>
      </w:r>
      <w:r>
        <w:t>a</w:t>
      </w:r>
      <w:r>
        <w:rPr>
          <w:spacing w:val="-7"/>
        </w:rPr>
        <w:t xml:space="preserve"> </w:t>
      </w:r>
      <w:r>
        <w:t>harmonized</w:t>
      </w:r>
      <w:r>
        <w:rPr>
          <w:spacing w:val="-8"/>
        </w:rPr>
        <w:t xml:space="preserve"> </w:t>
      </w:r>
      <w:r>
        <w:t>approach</w:t>
      </w:r>
      <w:r>
        <w:rPr>
          <w:spacing w:val="-5"/>
        </w:rPr>
        <w:t xml:space="preserve"> </w:t>
      </w:r>
      <w:r>
        <w:t>will</w:t>
      </w:r>
      <w:r>
        <w:rPr>
          <w:spacing w:val="-3"/>
        </w:rPr>
        <w:t xml:space="preserve"> </w:t>
      </w:r>
      <w:r>
        <w:t>not</w:t>
      </w:r>
      <w:r>
        <w:rPr>
          <w:spacing w:val="-7"/>
        </w:rPr>
        <w:t xml:space="preserve"> </w:t>
      </w:r>
      <w:r>
        <w:t>only</w:t>
      </w:r>
      <w:r>
        <w:rPr>
          <w:spacing w:val="-13"/>
        </w:rPr>
        <w:t xml:space="preserve"> </w:t>
      </w:r>
      <w:r>
        <w:t>facilitate</w:t>
      </w:r>
      <w:r>
        <w:rPr>
          <w:spacing w:val="-5"/>
        </w:rPr>
        <w:t xml:space="preserve"> </w:t>
      </w:r>
      <w:r>
        <w:t>necessary</w:t>
      </w:r>
      <w:r>
        <w:rPr>
          <w:spacing w:val="-10"/>
        </w:rPr>
        <w:t xml:space="preserve"> </w:t>
      </w:r>
      <w:r>
        <w:t>assessment</w:t>
      </w:r>
      <w:r>
        <w:rPr>
          <w:spacing w:val="-9"/>
        </w:rPr>
        <w:t xml:space="preserve"> </w:t>
      </w:r>
      <w:r>
        <w:t>of</w:t>
      </w:r>
      <w:r>
        <w:rPr>
          <w:spacing w:val="-7"/>
        </w:rPr>
        <w:t xml:space="preserve"> </w:t>
      </w:r>
      <w:r>
        <w:t>the</w:t>
      </w:r>
      <w:r>
        <w:rPr>
          <w:spacing w:val="-8"/>
        </w:rPr>
        <w:t xml:space="preserve"> </w:t>
      </w:r>
      <w:r>
        <w:t>overall</w:t>
      </w:r>
      <w:r>
        <w:rPr>
          <w:spacing w:val="-10"/>
        </w:rPr>
        <w:t xml:space="preserve"> </w:t>
      </w:r>
      <w:r>
        <w:t>referral</w:t>
      </w:r>
      <w:r>
        <w:rPr>
          <w:spacing w:val="-10"/>
        </w:rPr>
        <w:t xml:space="preserve"> </w:t>
      </w:r>
      <w:r>
        <w:t>system.</w:t>
      </w:r>
      <w:r>
        <w:rPr>
          <w:spacing w:val="-9"/>
        </w:rPr>
        <w:t xml:space="preserve"> </w:t>
      </w:r>
      <w:r>
        <w:t>It</w:t>
      </w:r>
      <w:r>
        <w:rPr>
          <w:spacing w:val="-7"/>
        </w:rPr>
        <w:t xml:space="preserve"> </w:t>
      </w:r>
      <w:r>
        <w:t>will</w:t>
      </w:r>
      <w:r>
        <w:rPr>
          <w:spacing w:val="-5"/>
        </w:rPr>
        <w:t xml:space="preserve"> </w:t>
      </w:r>
      <w:r>
        <w:t>also</w:t>
      </w:r>
      <w:r>
        <w:rPr>
          <w:spacing w:val="-7"/>
        </w:rPr>
        <w:t xml:space="preserve"> </w:t>
      </w:r>
      <w:r>
        <w:t>allow</w:t>
      </w:r>
      <w:r>
        <w:rPr>
          <w:spacing w:val="-6"/>
        </w:rPr>
        <w:t xml:space="preserve"> </w:t>
      </w:r>
      <w:r>
        <w:t>the</w:t>
      </w:r>
      <w:r>
        <w:rPr>
          <w:spacing w:val="-7"/>
        </w:rPr>
        <w:t xml:space="preserve"> </w:t>
      </w:r>
      <w:r>
        <w:t>Sector</w:t>
      </w:r>
      <w:r>
        <w:rPr>
          <w:spacing w:val="-8"/>
        </w:rPr>
        <w:t xml:space="preserve"> </w:t>
      </w:r>
      <w:r>
        <w:t>to</w:t>
      </w:r>
      <w:r>
        <w:rPr>
          <w:spacing w:val="-5"/>
        </w:rPr>
        <w:t xml:space="preserve"> </w:t>
      </w:r>
      <w:r>
        <w:t>conduct proper studies on best practices and concurring gaps in services for further discussion across</w:t>
      </w:r>
      <w:r>
        <w:rPr>
          <w:spacing w:val="-11"/>
        </w:rPr>
        <w:t xml:space="preserve"> </w:t>
      </w:r>
      <w:r>
        <w:t>sectors.</w:t>
      </w:r>
      <w:r w:rsidR="0044681B">
        <w:t xml:space="preserve"> It is recommended that each agency and sector maintain a data base of referrals, with de-identified non sensitive data in order to monitor the referral process in practice. </w:t>
      </w:r>
    </w:p>
    <w:p w14:paraId="6B92F321" w14:textId="77777777" w:rsidR="00FF153E" w:rsidRDefault="00FF153E">
      <w:pPr>
        <w:pStyle w:val="BodyText"/>
        <w:rPr>
          <w:sz w:val="22"/>
        </w:rPr>
      </w:pPr>
    </w:p>
    <w:p w14:paraId="7F86360A" w14:textId="77777777" w:rsidR="00FF153E" w:rsidRDefault="00FF153E">
      <w:pPr>
        <w:pStyle w:val="BodyText"/>
        <w:rPr>
          <w:sz w:val="22"/>
        </w:rPr>
      </w:pPr>
    </w:p>
    <w:p w14:paraId="5AD423FA" w14:textId="77777777" w:rsidR="00FF153E" w:rsidRDefault="00FF153E">
      <w:pPr>
        <w:pStyle w:val="BodyText"/>
        <w:rPr>
          <w:sz w:val="22"/>
        </w:rPr>
      </w:pPr>
    </w:p>
    <w:p w14:paraId="177521E3" w14:textId="77777777" w:rsidR="00FF153E" w:rsidRDefault="00FF153E">
      <w:pPr>
        <w:pStyle w:val="BodyText"/>
        <w:rPr>
          <w:sz w:val="22"/>
        </w:rPr>
      </w:pPr>
    </w:p>
    <w:p w14:paraId="03A1C2CE" w14:textId="77777777" w:rsidR="00FF153E" w:rsidRDefault="00FF153E">
      <w:pPr>
        <w:pStyle w:val="BodyText"/>
        <w:spacing w:before="8"/>
        <w:rPr>
          <w:sz w:val="31"/>
        </w:rPr>
      </w:pPr>
    </w:p>
    <w:p w14:paraId="6FBB1B4B" w14:textId="77777777" w:rsidR="00FF153E" w:rsidRDefault="00E91523">
      <w:pPr>
        <w:pStyle w:val="Heading2"/>
        <w:spacing w:before="1"/>
      </w:pPr>
      <w:r>
        <w:t>Sources:</w:t>
      </w:r>
    </w:p>
    <w:p w14:paraId="781310DE" w14:textId="77777777" w:rsidR="00FF153E" w:rsidRDefault="00FF153E">
      <w:pPr>
        <w:pStyle w:val="BodyText"/>
        <w:spacing w:before="3"/>
        <w:rPr>
          <w:b/>
        </w:rPr>
      </w:pPr>
    </w:p>
    <w:p w14:paraId="0E7B01F9" w14:textId="77777777" w:rsidR="00FF153E" w:rsidRDefault="00E91523">
      <w:pPr>
        <w:pStyle w:val="BodyText"/>
        <w:ind w:left="100"/>
      </w:pPr>
      <w:r>
        <w:t>Inter-Agency Referral Form and Guidance Note, Inter-Agency Reference Group for Mental Health and Psychosocial Support in Emergency Settings, 2017 Guidance Note for Inter-Agency Referral Form, Protection Cluster, Yemen, 2017</w:t>
      </w:r>
    </w:p>
    <w:p w14:paraId="6D6C59E3" w14:textId="0B82A638" w:rsidR="00FF153E" w:rsidRDefault="00FF153E">
      <w:pPr>
        <w:spacing w:line="183" w:lineRule="exact"/>
        <w:ind w:left="100"/>
        <w:rPr>
          <w:sz w:val="16"/>
        </w:rPr>
      </w:pPr>
    </w:p>
    <w:sectPr w:rsidR="00FF153E">
      <w:pgSz w:w="16840" w:h="11910" w:orient="landscape"/>
      <w:pgMar w:top="11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7BB8C" w14:textId="77777777" w:rsidR="00661BC6" w:rsidRDefault="00661BC6" w:rsidP="00DA533A">
      <w:r>
        <w:separator/>
      </w:r>
    </w:p>
  </w:endnote>
  <w:endnote w:type="continuationSeparator" w:id="0">
    <w:p w14:paraId="5CE33C6B" w14:textId="77777777" w:rsidR="00661BC6" w:rsidRDefault="00661BC6" w:rsidP="00DA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59092" w14:textId="77777777" w:rsidR="00661BC6" w:rsidRDefault="00661BC6" w:rsidP="00DA533A">
      <w:r>
        <w:separator/>
      </w:r>
    </w:p>
  </w:footnote>
  <w:footnote w:type="continuationSeparator" w:id="0">
    <w:p w14:paraId="01E0D33F" w14:textId="77777777" w:rsidR="00661BC6" w:rsidRDefault="00661BC6" w:rsidP="00DA533A">
      <w:r>
        <w:continuationSeparator/>
      </w:r>
    </w:p>
  </w:footnote>
  <w:footnote w:id="1">
    <w:p w14:paraId="65E65DF9" w14:textId="58B9366F" w:rsidR="00DA533A" w:rsidRPr="00DA533A" w:rsidRDefault="00DA533A">
      <w:pPr>
        <w:pStyle w:val="FootnoteText"/>
      </w:pPr>
      <w:r>
        <w:rPr>
          <w:rStyle w:val="FootnoteReference"/>
        </w:rPr>
        <w:footnoteRef/>
      </w:r>
      <w:r>
        <w:t xml:space="preserve"> </w:t>
      </w:r>
      <w:r>
        <w:rPr>
          <w:sz w:val="16"/>
        </w:rPr>
        <w:t>See Annex 1: Inter-Agency Referral Form</w:t>
      </w:r>
    </w:p>
  </w:footnote>
  <w:footnote w:id="2">
    <w:p w14:paraId="6D44AAAD" w14:textId="7CB9BBD4" w:rsidR="00DA533A" w:rsidRPr="00DA533A" w:rsidRDefault="00DA533A">
      <w:pPr>
        <w:pStyle w:val="FootnoteText"/>
        <w:rPr>
          <w:lang w:val="en-GB"/>
        </w:rPr>
      </w:pPr>
      <w:r>
        <w:rPr>
          <w:rStyle w:val="FootnoteReference"/>
        </w:rPr>
        <w:footnoteRef/>
      </w:r>
      <w:r>
        <w:t xml:space="preserve"> </w:t>
      </w:r>
      <w:bookmarkStart w:id="1" w:name="_Hlk56517411"/>
      <w:r>
        <w:rPr>
          <w:sz w:val="16"/>
        </w:rPr>
        <w:t xml:space="preserve">See Annex 2: Inter-Agency Referral Services Map Template </w:t>
      </w:r>
      <w:bookmarkEnd w:id="1"/>
    </w:p>
  </w:footnote>
  <w:footnote w:id="3">
    <w:p w14:paraId="5817D5C5" w14:textId="1E8B4A67" w:rsidR="0044681B" w:rsidRPr="0044681B" w:rsidRDefault="0044681B">
      <w:pPr>
        <w:pStyle w:val="FootnoteText"/>
        <w:rPr>
          <w:lang w:val="en-GB"/>
        </w:rPr>
      </w:pPr>
      <w:r>
        <w:rPr>
          <w:rStyle w:val="FootnoteReference"/>
        </w:rPr>
        <w:footnoteRef/>
      </w:r>
      <w:r>
        <w:t xml:space="preserve"> </w:t>
      </w:r>
      <w:r>
        <w:rPr>
          <w:sz w:val="16"/>
        </w:rPr>
        <w:t>See Annex 3: Referral Data Collection Template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614E1"/>
    <w:multiLevelType w:val="hybridMultilevel"/>
    <w:tmpl w:val="7DBE7FD6"/>
    <w:lvl w:ilvl="0" w:tplc="AB6CE02E">
      <w:start w:val="1"/>
      <w:numFmt w:val="decimal"/>
      <w:lvlText w:val="%1)"/>
      <w:lvlJc w:val="left"/>
      <w:pPr>
        <w:ind w:left="460" w:hanging="360"/>
        <w:jc w:val="left"/>
      </w:pPr>
      <w:rPr>
        <w:rFonts w:ascii="Arial" w:eastAsia="Arial" w:hAnsi="Arial" w:cs="Arial" w:hint="default"/>
        <w:spacing w:val="-1"/>
        <w:w w:val="99"/>
        <w:sz w:val="20"/>
        <w:szCs w:val="20"/>
        <w:lang w:val="en-US" w:eastAsia="en-US" w:bidi="ar-SA"/>
      </w:rPr>
    </w:lvl>
    <w:lvl w:ilvl="1" w:tplc="D85CCA90">
      <w:numFmt w:val="bullet"/>
      <w:lvlText w:val="•"/>
      <w:lvlJc w:val="left"/>
      <w:pPr>
        <w:ind w:left="1831" w:hanging="360"/>
      </w:pPr>
      <w:rPr>
        <w:rFonts w:hint="default"/>
        <w:lang w:val="en-US" w:eastAsia="en-US" w:bidi="ar-SA"/>
      </w:rPr>
    </w:lvl>
    <w:lvl w:ilvl="2" w:tplc="86B8C1EC">
      <w:numFmt w:val="bullet"/>
      <w:lvlText w:val="•"/>
      <w:lvlJc w:val="left"/>
      <w:pPr>
        <w:ind w:left="3203" w:hanging="360"/>
      </w:pPr>
      <w:rPr>
        <w:rFonts w:hint="default"/>
        <w:lang w:val="en-US" w:eastAsia="en-US" w:bidi="ar-SA"/>
      </w:rPr>
    </w:lvl>
    <w:lvl w:ilvl="3" w:tplc="2F228950">
      <w:numFmt w:val="bullet"/>
      <w:lvlText w:val="•"/>
      <w:lvlJc w:val="left"/>
      <w:pPr>
        <w:ind w:left="4575" w:hanging="360"/>
      </w:pPr>
      <w:rPr>
        <w:rFonts w:hint="default"/>
        <w:lang w:val="en-US" w:eastAsia="en-US" w:bidi="ar-SA"/>
      </w:rPr>
    </w:lvl>
    <w:lvl w:ilvl="4" w:tplc="6D3872DA">
      <w:numFmt w:val="bullet"/>
      <w:lvlText w:val="•"/>
      <w:lvlJc w:val="left"/>
      <w:pPr>
        <w:ind w:left="5947" w:hanging="360"/>
      </w:pPr>
      <w:rPr>
        <w:rFonts w:hint="default"/>
        <w:lang w:val="en-US" w:eastAsia="en-US" w:bidi="ar-SA"/>
      </w:rPr>
    </w:lvl>
    <w:lvl w:ilvl="5" w:tplc="7938DE36">
      <w:numFmt w:val="bullet"/>
      <w:lvlText w:val="•"/>
      <w:lvlJc w:val="left"/>
      <w:pPr>
        <w:ind w:left="7319" w:hanging="360"/>
      </w:pPr>
      <w:rPr>
        <w:rFonts w:hint="default"/>
        <w:lang w:val="en-US" w:eastAsia="en-US" w:bidi="ar-SA"/>
      </w:rPr>
    </w:lvl>
    <w:lvl w:ilvl="6" w:tplc="4F0CD7DE">
      <w:numFmt w:val="bullet"/>
      <w:lvlText w:val="•"/>
      <w:lvlJc w:val="left"/>
      <w:pPr>
        <w:ind w:left="8691" w:hanging="360"/>
      </w:pPr>
      <w:rPr>
        <w:rFonts w:hint="default"/>
        <w:lang w:val="en-US" w:eastAsia="en-US" w:bidi="ar-SA"/>
      </w:rPr>
    </w:lvl>
    <w:lvl w:ilvl="7" w:tplc="05481034">
      <w:numFmt w:val="bullet"/>
      <w:lvlText w:val="•"/>
      <w:lvlJc w:val="left"/>
      <w:pPr>
        <w:ind w:left="10062" w:hanging="360"/>
      </w:pPr>
      <w:rPr>
        <w:rFonts w:hint="default"/>
        <w:lang w:val="en-US" w:eastAsia="en-US" w:bidi="ar-SA"/>
      </w:rPr>
    </w:lvl>
    <w:lvl w:ilvl="8" w:tplc="F85CA7F8">
      <w:numFmt w:val="bullet"/>
      <w:lvlText w:val="•"/>
      <w:lvlJc w:val="left"/>
      <w:pPr>
        <w:ind w:left="11434" w:hanging="360"/>
      </w:pPr>
      <w:rPr>
        <w:rFonts w:hint="default"/>
        <w:lang w:val="en-US" w:eastAsia="en-US" w:bidi="ar-SA"/>
      </w:rPr>
    </w:lvl>
  </w:abstractNum>
  <w:abstractNum w:abstractNumId="1" w15:restartNumberingAfterBreak="0">
    <w:nsid w:val="7EDE64BC"/>
    <w:multiLevelType w:val="hybridMultilevel"/>
    <w:tmpl w:val="9E4897DA"/>
    <w:lvl w:ilvl="0" w:tplc="F7C4C5CE">
      <w:start w:val="1"/>
      <w:numFmt w:val="decimal"/>
      <w:lvlText w:val="%1."/>
      <w:lvlJc w:val="left"/>
      <w:pPr>
        <w:ind w:left="320" w:hanging="221"/>
        <w:jc w:val="left"/>
      </w:pPr>
      <w:rPr>
        <w:rFonts w:ascii="Arial" w:eastAsia="Arial" w:hAnsi="Arial" w:cs="Arial" w:hint="default"/>
        <w:spacing w:val="-1"/>
        <w:w w:val="99"/>
        <w:sz w:val="20"/>
        <w:szCs w:val="20"/>
        <w:lang w:val="en-US" w:eastAsia="en-US" w:bidi="ar-SA"/>
      </w:rPr>
    </w:lvl>
    <w:lvl w:ilvl="1" w:tplc="27D68D70">
      <w:numFmt w:val="bullet"/>
      <w:lvlText w:val="•"/>
      <w:lvlJc w:val="left"/>
      <w:pPr>
        <w:ind w:left="1705" w:hanging="221"/>
      </w:pPr>
      <w:rPr>
        <w:rFonts w:hint="default"/>
        <w:lang w:val="en-US" w:eastAsia="en-US" w:bidi="ar-SA"/>
      </w:rPr>
    </w:lvl>
    <w:lvl w:ilvl="2" w:tplc="A274C2D0">
      <w:numFmt w:val="bullet"/>
      <w:lvlText w:val="•"/>
      <w:lvlJc w:val="left"/>
      <w:pPr>
        <w:ind w:left="3091" w:hanging="221"/>
      </w:pPr>
      <w:rPr>
        <w:rFonts w:hint="default"/>
        <w:lang w:val="en-US" w:eastAsia="en-US" w:bidi="ar-SA"/>
      </w:rPr>
    </w:lvl>
    <w:lvl w:ilvl="3" w:tplc="2B2A4776">
      <w:numFmt w:val="bullet"/>
      <w:lvlText w:val="•"/>
      <w:lvlJc w:val="left"/>
      <w:pPr>
        <w:ind w:left="4477" w:hanging="221"/>
      </w:pPr>
      <w:rPr>
        <w:rFonts w:hint="default"/>
        <w:lang w:val="en-US" w:eastAsia="en-US" w:bidi="ar-SA"/>
      </w:rPr>
    </w:lvl>
    <w:lvl w:ilvl="4" w:tplc="FD0C7D02">
      <w:numFmt w:val="bullet"/>
      <w:lvlText w:val="•"/>
      <w:lvlJc w:val="left"/>
      <w:pPr>
        <w:ind w:left="5863" w:hanging="221"/>
      </w:pPr>
      <w:rPr>
        <w:rFonts w:hint="default"/>
        <w:lang w:val="en-US" w:eastAsia="en-US" w:bidi="ar-SA"/>
      </w:rPr>
    </w:lvl>
    <w:lvl w:ilvl="5" w:tplc="58AC5438">
      <w:numFmt w:val="bullet"/>
      <w:lvlText w:val="•"/>
      <w:lvlJc w:val="left"/>
      <w:pPr>
        <w:ind w:left="7249" w:hanging="221"/>
      </w:pPr>
      <w:rPr>
        <w:rFonts w:hint="default"/>
        <w:lang w:val="en-US" w:eastAsia="en-US" w:bidi="ar-SA"/>
      </w:rPr>
    </w:lvl>
    <w:lvl w:ilvl="6" w:tplc="3CBA39BC">
      <w:numFmt w:val="bullet"/>
      <w:lvlText w:val="•"/>
      <w:lvlJc w:val="left"/>
      <w:pPr>
        <w:ind w:left="8635" w:hanging="221"/>
      </w:pPr>
      <w:rPr>
        <w:rFonts w:hint="default"/>
        <w:lang w:val="en-US" w:eastAsia="en-US" w:bidi="ar-SA"/>
      </w:rPr>
    </w:lvl>
    <w:lvl w:ilvl="7" w:tplc="5E484AA0">
      <w:numFmt w:val="bullet"/>
      <w:lvlText w:val="•"/>
      <w:lvlJc w:val="left"/>
      <w:pPr>
        <w:ind w:left="10020" w:hanging="221"/>
      </w:pPr>
      <w:rPr>
        <w:rFonts w:hint="default"/>
        <w:lang w:val="en-US" w:eastAsia="en-US" w:bidi="ar-SA"/>
      </w:rPr>
    </w:lvl>
    <w:lvl w:ilvl="8" w:tplc="529A765A">
      <w:numFmt w:val="bullet"/>
      <w:lvlText w:val="•"/>
      <w:lvlJc w:val="left"/>
      <w:pPr>
        <w:ind w:left="11406" w:hanging="22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3E"/>
    <w:rsid w:val="0044681B"/>
    <w:rsid w:val="00583100"/>
    <w:rsid w:val="00661BC6"/>
    <w:rsid w:val="00BB00CA"/>
    <w:rsid w:val="00CF3BE1"/>
    <w:rsid w:val="00D07E1B"/>
    <w:rsid w:val="00D47036"/>
    <w:rsid w:val="00DA533A"/>
    <w:rsid w:val="00E91523"/>
    <w:rsid w:val="00FF1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D0FA"/>
  <w15:docId w15:val="{D86E38A5-1609-461F-B00A-05D2B722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2"/>
      <w:ind w:left="152"/>
      <w:outlineLvl w:val="0"/>
    </w:pPr>
    <w:rPr>
      <w:b/>
      <w:bCs/>
      <w:sz w:val="28"/>
      <w:szCs w:val="28"/>
    </w:rPr>
  </w:style>
  <w:style w:type="paragraph" w:styleId="Heading2">
    <w:name w:val="heading 2"/>
    <w:basedOn w:val="Normal"/>
    <w:uiPriority w:val="9"/>
    <w:unhideWhenUsed/>
    <w:qFormat/>
    <w:pPr>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A533A"/>
    <w:rPr>
      <w:sz w:val="20"/>
      <w:szCs w:val="20"/>
    </w:rPr>
  </w:style>
  <w:style w:type="character" w:customStyle="1" w:styleId="FootnoteTextChar">
    <w:name w:val="Footnote Text Char"/>
    <w:basedOn w:val="DefaultParagraphFont"/>
    <w:link w:val="FootnoteText"/>
    <w:uiPriority w:val="99"/>
    <w:semiHidden/>
    <w:rsid w:val="00DA533A"/>
    <w:rPr>
      <w:rFonts w:ascii="Arial" w:eastAsia="Arial" w:hAnsi="Arial" w:cs="Arial"/>
      <w:sz w:val="20"/>
      <w:szCs w:val="20"/>
    </w:rPr>
  </w:style>
  <w:style w:type="character" w:styleId="FootnoteReference">
    <w:name w:val="footnote reference"/>
    <w:basedOn w:val="DefaultParagraphFont"/>
    <w:uiPriority w:val="99"/>
    <w:semiHidden/>
    <w:unhideWhenUsed/>
    <w:rsid w:val="00DA5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B050D803BE034CBEAE477B239A7EDF" ma:contentTypeVersion="16" ma:contentTypeDescription="Create a new document." ma:contentTypeScope="" ma:versionID="9d6d4b1bf0ddf4b4b598901eb5172bb6">
  <xsd:schema xmlns:xsd="http://www.w3.org/2001/XMLSchema" xmlns:xs="http://www.w3.org/2001/XMLSchema" xmlns:p="http://schemas.microsoft.com/office/2006/metadata/properties" xmlns:ns2="f9c27809-4287-4089-b372-ed66d4ae5532" xmlns:ns3="a7a6521e-3bb8-4ccc-a7e1-cb34b7e3d81d" targetNamespace="http://schemas.microsoft.com/office/2006/metadata/properties" ma:root="true" ma:fieldsID="d75914c7c1b02793fc54b38af3bcc159" ns2:_="" ns3:_="">
    <xsd:import namespace="f9c27809-4287-4089-b372-ed66d4ae5532"/>
    <xsd:import namespace="a7a6521e-3bb8-4ccc-a7e1-cb34b7e3d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809-4287-4089-b372-ed66d4ae5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a6521e-3bb8-4ccc-a7e1-cb34b7e3d8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a163c4-7aef-45cf-802c-7e9ce6ac4ea5}" ma:internalName="TaxCatchAll" ma:showField="CatchAllData" ma:web="a7a6521e-3bb8-4ccc-a7e1-cb34b7e3d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c27809-4287-4089-b372-ed66d4ae5532">
      <Terms xmlns="http://schemas.microsoft.com/office/infopath/2007/PartnerControls"/>
    </lcf76f155ced4ddcb4097134ff3c332f>
    <TaxCatchAll xmlns="a7a6521e-3bb8-4ccc-a7e1-cb34b7e3d81d" xsi:nil="true"/>
  </documentManagement>
</p:properties>
</file>

<file path=customXml/itemProps1.xml><?xml version="1.0" encoding="utf-8"?>
<ds:datastoreItem xmlns:ds="http://schemas.openxmlformats.org/officeDocument/2006/customXml" ds:itemID="{16BE5347-AC07-4848-AA8B-26C233B3EF20}">
  <ds:schemaRefs>
    <ds:schemaRef ds:uri="http://schemas.openxmlformats.org/officeDocument/2006/bibliography"/>
  </ds:schemaRefs>
</ds:datastoreItem>
</file>

<file path=customXml/itemProps2.xml><?xml version="1.0" encoding="utf-8"?>
<ds:datastoreItem xmlns:ds="http://schemas.openxmlformats.org/officeDocument/2006/customXml" ds:itemID="{BF8D0FD9-F0C1-4565-A5AC-3932E824AA71}"/>
</file>

<file path=customXml/itemProps3.xml><?xml version="1.0" encoding="utf-8"?>
<ds:datastoreItem xmlns:ds="http://schemas.openxmlformats.org/officeDocument/2006/customXml" ds:itemID="{9B713B53-3FC6-47E8-AF50-918FC5E18550}"/>
</file>

<file path=customXml/itemProps4.xml><?xml version="1.0" encoding="utf-8"?>
<ds:datastoreItem xmlns:ds="http://schemas.openxmlformats.org/officeDocument/2006/customXml" ds:itemID="{E080647C-C703-4E91-8F61-3B80BB19A0A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Cecile</cp:lastModifiedBy>
  <cp:revision>2</cp:revision>
  <dcterms:created xsi:type="dcterms:W3CDTF">2022-05-09T12:59:00Z</dcterms:created>
  <dcterms:modified xsi:type="dcterms:W3CDTF">2022-05-09T12:59:00Z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Creator">
    <vt:lpwstr>Microsoft® Word 2013</vt:lpwstr>
  </property>
  <property fmtid="{D5CDD505-2E9C-101B-9397-08002B2CF9AE}" pid="4" name="LastSaved">
    <vt:filetime>2020-11-17T00:00:00Z</vt:filetime>
  </property>
  <property fmtid="{D5CDD505-2E9C-101B-9397-08002B2CF9AE}" pid="5" name="ContentTypeId">
    <vt:lpwstr>0x0101008BB050D803BE034CBEAE477B239A7EDF</vt:lpwstr>
  </property>
  <property fmtid="{D5CDD505-2E9C-101B-9397-08002B2CF9AE}" pid="6" name="MediaServiceImageTags">
    <vt:lpwstr/>
  </property>
</Properties>
</file>